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954"/>
        <w:tblW w:w="5000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9637"/>
      </w:tblGrid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539611" cy="650887"/>
                      <wp:effectExtent l="0" t="0" r="0" b="0"/>
                      <wp:docPr id="1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gerb-b-15x80-600.png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39611" cy="650887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49pt;height:51.25pt;mso-wrap-distance-left:0.00pt;mso-wrap-distance-top:0.00pt;mso-wrap-distance-right:0.00pt;mso-wrap-distance-bottom:0.00pt;" stroked="false">
                      <v:path textboxrect="0,0,0,0"/>
                      <v:imagedata r:id="rId12" o:title=""/>
                    </v:shape>
                  </w:pict>
                </mc:Fallback>
              </mc:AlternateContent>
            </w:r>
            <w:r/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АДМИНИСТРАЦИЯ</w:t>
            </w:r>
            <w:r>
              <w:rPr>
                <w:b/>
                <w:szCs w:val="28"/>
              </w:rPr>
              <w:t xml:space="preserve"> МОШКОВСКОГО РАЙОНА</w:t>
            </w: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</w:r>
          </w:p>
          <w:p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 xml:space="preserve">НОВОСИБИРСКОЙ ОБЛАСТИ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 xml:space="preserve">ПОСТАНОВЛЕНИЕ</w:t>
            </w:r>
            <w:r>
              <w:rPr>
                <w:b/>
                <w:szCs w:val="28"/>
              </w:rPr>
            </w:r>
            <w:r>
              <w:rPr>
                <w:b/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tbl>
            <w:tblPr>
              <w:tblStyle w:val="954"/>
              <w:tblW w:w="0" w:type="auto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>
              <w:trPr>
                <w:jc w:val="center"/>
              </w:trPr>
              <w:tc>
                <w:tcPr>
                  <w:tcW w:w="0" w:type="auto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от</w:t>
                  </w:r>
                  <w:r>
                    <w:rPr>
                      <w:szCs w:val="28"/>
                    </w:rPr>
                  </w:r>
                  <w:r>
                    <w:rPr>
                      <w:szCs w:val="28"/>
                    </w:rPr>
                  </w:r>
                </w:p>
              </w:tc>
              <w:tc>
                <w:tcPr>
                  <w:tcBorders>
                    <w:bottom w:val="single" w:color="auto" w:sz="4" w:space="0"/>
                  </w:tcBorders>
                  <w:tcW w:w="2090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26.02.2024</w:t>
                  </w:r>
                  <w:r>
                    <w:rPr>
                      <w:szCs w:val="28"/>
                    </w:rPr>
                  </w:r>
                  <w:r>
                    <w:rPr>
                      <w:szCs w:val="28"/>
                    </w:rPr>
                  </w:r>
                </w:p>
              </w:tc>
              <w:tc>
                <w:tcPr>
                  <w:tcW w:w="484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righ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№</w:t>
                  </w:r>
                  <w:r>
                    <w:rPr>
                      <w:szCs w:val="28"/>
                    </w:rPr>
                  </w:r>
                  <w:r>
                    <w:rPr>
                      <w:szCs w:val="28"/>
                    </w:rPr>
                  </w:r>
                </w:p>
              </w:tc>
              <w:tc>
                <w:tcPr>
                  <w:tcBorders>
                    <w:bottom w:val="single" w:color="auto" w:sz="4" w:space="0"/>
                  </w:tcBorders>
                  <w:tcW w:w="1285" w:type="dxa"/>
                  <w:vAlign w:val="bottom"/>
                  <w:textDirection w:val="lrTb"/>
                  <w:noWrap w:val="false"/>
                </w:tcPr>
                <w:p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318-па</w:t>
                  </w:r>
                  <w:r>
                    <w:rPr>
                      <w:szCs w:val="28"/>
                    </w:rPr>
                  </w:r>
                  <w:r>
                    <w:rPr>
                      <w:szCs w:val="28"/>
                    </w:rPr>
                  </w:r>
                </w:p>
              </w:tc>
            </w:tr>
          </w:tbl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</w:p>
          <w:p>
            <w:pPr>
              <w:ind w:firstLine="0"/>
              <w:jc w:val="center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  <w:r>
              <w:rPr>
                <w:szCs w:val="28"/>
                <w:lang w:val="en-US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pStyle w:val="96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плана мероприятий (дорожн</w:t>
            </w:r>
            <w:r>
              <w:rPr>
                <w:sz w:val="28"/>
                <w:szCs w:val="28"/>
              </w:rPr>
              <w:t xml:space="preserve">ая</w:t>
            </w:r>
            <w:r>
              <w:rPr>
                <w:sz w:val="28"/>
                <w:szCs w:val="28"/>
              </w:rPr>
              <w:t xml:space="preserve"> карт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)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по</w:t>
            </w:r>
            <w:r>
              <w:rPr>
                <w:szCs w:val="28"/>
              </w:rPr>
              <w:t xml:space="preserve"> снижению </w:t>
            </w:r>
            <w:r>
              <w:rPr>
                <w:szCs w:val="28"/>
              </w:rPr>
              <w:t xml:space="preserve">комплаенс</w:t>
            </w:r>
            <w:r>
              <w:rPr>
                <w:szCs w:val="28"/>
              </w:rPr>
              <w:t xml:space="preserve">-рисков в администрации </w:t>
            </w:r>
            <w:r>
              <w:rPr>
                <w:szCs w:val="28"/>
              </w:rPr>
              <w:t xml:space="preserve">Мошковского</w:t>
            </w:r>
            <w:r>
              <w:rPr>
                <w:szCs w:val="28"/>
              </w:rPr>
              <w:t xml:space="preserve"> района Новосибирской области</w:t>
            </w:r>
            <w:r>
              <w:rPr>
                <w:szCs w:val="28"/>
              </w:rPr>
              <w:t xml:space="preserve"> на 2024</w:t>
            </w:r>
            <w:r>
              <w:rPr>
                <w:szCs w:val="28"/>
              </w:rPr>
              <w:t xml:space="preserve"> год</w:t>
            </w:r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jc w:val="center"/>
        </w:trPr>
        <w:tc>
          <w:tcPr>
            <w:tcW w:w="9637" w:type="dxa"/>
            <w:textDirection w:val="lrTb"/>
            <w:noWrap w:val="false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p>
      <w:pPr>
        <w:pStyle w:val="96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исполнение Указа Президента Российской Федерации от 21.12.2017 № 618 «Об основных направлениях государственной политики по развитию конкуренции», распоряжения Правительства Российско</w:t>
      </w:r>
      <w:r>
        <w:rPr>
          <w:sz w:val="28"/>
          <w:szCs w:val="28"/>
        </w:rPr>
        <w:t xml:space="preserve">й Федерации от 18.10.2018 № 2258-р «О методических рекомендациях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законодательства», постановления администрации </w:t>
      </w:r>
      <w:r>
        <w:rPr>
          <w:sz w:val="28"/>
          <w:szCs w:val="28"/>
        </w:rPr>
        <w:t xml:space="preserve">Мошковского</w:t>
      </w:r>
      <w:r>
        <w:rPr>
          <w:sz w:val="28"/>
          <w:szCs w:val="28"/>
        </w:rPr>
        <w:t xml:space="preserve"> района Новосибирской области от 08.07.2019 № 843-па «О системе внутреннего обеспечения соответствия требованиям антимонопольного законодательства деятельности администрации </w:t>
      </w:r>
      <w:r>
        <w:rPr>
          <w:sz w:val="28"/>
          <w:szCs w:val="28"/>
        </w:rPr>
        <w:t xml:space="preserve">Мошковского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»,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0"/>
      </w:pPr>
      <w:r>
        <w:t xml:space="preserve">ПОСТАНОВЛЯЮ:</w:t>
      </w:r>
      <w:r/>
    </w:p>
    <w:p>
      <w:pPr>
        <w:ind w:firstLine="0"/>
      </w:pPr>
      <w:r>
        <w:tab/>
        <w:t xml:space="preserve">1.Утвердить план мероприятий (дорожная карта) по снижению </w:t>
      </w:r>
      <w:r>
        <w:t xml:space="preserve">комплаенс</w:t>
      </w:r>
      <w:r>
        <w:t xml:space="preserve">-рисков в администрации </w:t>
      </w:r>
      <w:r>
        <w:t xml:space="preserve">Мошковского</w:t>
      </w:r>
      <w:r>
        <w:t xml:space="preserve"> района Новосибирской области на 2024 год (Приложение).</w:t>
      </w:r>
      <w:r/>
    </w:p>
    <w:p>
      <w:pPr>
        <w:ind w:firstLine="0"/>
      </w:pPr>
      <w:r>
        <w:tab/>
        <w:t xml:space="preserve">2.Управлению организационно-контрольной и кадровой работы администрации </w:t>
      </w:r>
      <w:r>
        <w:t xml:space="preserve">Мошковского</w:t>
      </w:r>
      <w:r>
        <w:t xml:space="preserve"> района Новосибирской области (Радченко О.В.) обеспечить размещение настоящего постановления на официальном сайте </w:t>
      </w:r>
      <w:r>
        <w:t xml:space="preserve">Мошковского</w:t>
      </w:r>
      <w:r>
        <w:t xml:space="preserve"> района Новосибирской области в информационно-телекоммуникационной сети «Интернет».</w:t>
      </w:r>
      <w:r/>
    </w:p>
    <w:p>
      <w:pPr>
        <w:ind w:firstLine="708"/>
      </w:pPr>
      <w:r>
        <w:t xml:space="preserve">3. Контроль за исполнением настоящего постановления возложить на заместителя главы администрации </w:t>
      </w:r>
      <w:r>
        <w:t xml:space="preserve">Мошковского</w:t>
      </w:r>
      <w:r>
        <w:t xml:space="preserve"> района Новосибирской области </w:t>
      </w:r>
      <w:r>
        <w:t xml:space="preserve">Бараника</w:t>
      </w:r>
      <w:r>
        <w:t xml:space="preserve"> А.А.</w:t>
      </w:r>
      <w:r/>
    </w:p>
    <w:tbl>
      <w:tblPr>
        <w:tblStyle w:val="954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830"/>
        <w:gridCol w:w="4807"/>
      </w:tblGrid>
      <w:tr>
        <w:trPr>
          <w:trHeight w:val="1304"/>
        </w:trPr>
        <w:tc>
          <w:tcPr>
            <w:tcW w:w="4926" w:type="dxa"/>
            <w:vAlign w:val="bottom"/>
            <w:textDirection w:val="lrTb"/>
            <w:noWrap w:val="false"/>
          </w:tcPr>
          <w:p>
            <w:pPr>
              <w:ind w:firstLine="0"/>
              <w:jc w:val="left"/>
            </w:pPr>
            <w:r>
              <w:t xml:space="preserve">Глава </w:t>
            </w:r>
            <w:r>
              <w:t xml:space="preserve">Мошковского</w:t>
            </w:r>
            <w:r>
              <w:t xml:space="preserve"> района</w:t>
            </w:r>
            <w:r>
              <w:t xml:space="preserve"> Новосибирской области</w:t>
            </w:r>
            <w:r/>
          </w:p>
        </w:tc>
        <w:tc>
          <w:tcPr>
            <w:tcW w:w="4927" w:type="dxa"/>
            <w:vAlign w:val="bottom"/>
            <w:textDirection w:val="lrTb"/>
            <w:noWrap w:val="false"/>
          </w:tcPr>
          <w:p>
            <w:pPr>
              <w:ind w:firstLine="0"/>
              <w:jc w:val="right"/>
            </w:pPr>
            <w:r>
              <w:t xml:space="preserve">С.Н. Субботин</w:t>
            </w:r>
            <w:r/>
          </w:p>
        </w:tc>
      </w:tr>
    </w:tbl>
    <w:p>
      <w:pPr>
        <w:ind w:firstLine="0"/>
      </w:pPr>
      <w:r/>
      <w:r/>
    </w:p>
    <w:p>
      <w:pPr>
        <w:ind w:firstLine="0"/>
      </w:pPr>
      <w:r/>
      <w:r/>
    </w:p>
    <w:p>
      <w:pPr>
        <w:ind w:firstLine="0"/>
        <w:rPr>
          <w:sz w:val="20"/>
        </w:rPr>
      </w:pPr>
      <w:r>
        <w:rPr>
          <w:sz w:val="20"/>
        </w:rPr>
        <w:t xml:space="preserve">Бабич Татьяна Павловна</w:t>
      </w:r>
      <w:r>
        <w:rPr>
          <w:sz w:val="20"/>
        </w:rPr>
      </w:r>
      <w:r>
        <w:rPr>
          <w:sz w:val="20"/>
        </w:rPr>
      </w:r>
    </w:p>
    <w:p>
      <w:pPr>
        <w:ind w:firstLine="0"/>
        <w:rPr>
          <w:sz w:val="20"/>
        </w:rPr>
      </w:pPr>
      <w:r>
        <w:rPr>
          <w:sz w:val="20"/>
        </w:rPr>
        <w:t xml:space="preserve">21-976</w:t>
      </w:r>
      <w:r>
        <w:rPr>
          <w:sz w:val="20"/>
        </w:rPr>
      </w:r>
      <w:r>
        <w:rPr>
          <w:sz w:val="20"/>
        </w:rPr>
      </w:r>
    </w:p>
    <w:p>
      <w:pPr>
        <w:ind w:firstLine="0"/>
        <w:rPr>
          <w:sz w:val="20"/>
        </w:rPr>
        <w:sectPr>
          <w:headerReference w:type="default" r:id="rId9"/>
          <w:footnotePr/>
          <w:endnotePr/>
          <w:type w:val="nextPage"/>
          <w:pgSz w:w="11906" w:h="16838" w:orient="portrait"/>
          <w:pgMar w:top="567" w:right="851" w:bottom="1134" w:left="1418" w:header="510" w:footer="709" w:gutter="0"/>
          <w:cols w:num="1" w:sep="0" w:space="708" w:equalWidth="1"/>
          <w:docGrid w:linePitch="360"/>
          <w:titlePg/>
        </w:sect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Приложение</w:t>
      </w:r>
      <w:r>
        <w:rPr>
          <w:szCs w:val="28"/>
        </w:rPr>
      </w:r>
      <w:r>
        <w:rPr>
          <w:szCs w:val="28"/>
        </w:rPr>
      </w:r>
    </w:p>
    <w:p>
      <w:pPr>
        <w:ind w:firstLine="0"/>
        <w:jc w:val="right"/>
        <w:rPr>
          <w:szCs w:val="28"/>
        </w:rPr>
      </w:pPr>
      <w:r>
        <w:rPr>
          <w:szCs w:val="28"/>
        </w:rPr>
        <w:t xml:space="preserve">к</w:t>
      </w:r>
      <w:r>
        <w:rPr>
          <w:szCs w:val="28"/>
        </w:rPr>
        <w:t xml:space="preserve"> п</w:t>
      </w:r>
      <w:r>
        <w:rPr>
          <w:szCs w:val="28"/>
        </w:rPr>
        <w:t xml:space="preserve">остановлени</w:t>
      </w:r>
      <w:r>
        <w:rPr>
          <w:szCs w:val="28"/>
        </w:rPr>
        <w:t xml:space="preserve">ю</w:t>
      </w:r>
      <w:r>
        <w:rPr>
          <w:szCs w:val="28"/>
        </w:rPr>
        <w:t xml:space="preserve"> администрации</w:t>
      </w:r>
      <w:r>
        <w:rPr>
          <w:szCs w:val="28"/>
        </w:rPr>
      </w:r>
      <w:r>
        <w:rPr>
          <w:szCs w:val="28"/>
        </w:rPr>
      </w:r>
    </w:p>
    <w:p>
      <w:pPr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szCs w:val="28"/>
        </w:rPr>
        <w:t xml:space="preserve">Мошковского</w:t>
      </w:r>
      <w:r>
        <w:rPr>
          <w:szCs w:val="28"/>
        </w:rPr>
        <w:t xml:space="preserve"> района</w:t>
      </w:r>
      <w:r>
        <w:rPr>
          <w:szCs w:val="28"/>
        </w:rPr>
      </w:r>
      <w:r>
        <w:rPr>
          <w:szCs w:val="28"/>
        </w:rPr>
      </w:r>
    </w:p>
    <w:p>
      <w:pPr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   </w:t>
      </w:r>
      <w:r>
        <w:rPr>
          <w:szCs w:val="28"/>
        </w:rPr>
        <w:t xml:space="preserve">Новосибирской области</w:t>
      </w:r>
      <w:r>
        <w:rPr>
          <w:szCs w:val="28"/>
        </w:rPr>
      </w:r>
      <w:r>
        <w:rPr>
          <w:szCs w:val="28"/>
        </w:rPr>
      </w:r>
    </w:p>
    <w:p>
      <w:pPr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szCs w:val="28"/>
        </w:rPr>
        <w:t xml:space="preserve">от</w:t>
      </w:r>
      <w:r>
        <w:rPr>
          <w:szCs w:val="28"/>
        </w:rPr>
        <w:t xml:space="preserve"> 26.02.2024   № 318-па   </w:t>
      </w:r>
      <w:r>
        <w:rPr>
          <w:szCs w:val="28"/>
        </w:rPr>
      </w:r>
      <w:r>
        <w:rPr>
          <w:szCs w:val="28"/>
        </w:rPr>
      </w:r>
    </w:p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План мероприятий (д</w:t>
      </w:r>
      <w:r>
        <w:rPr>
          <w:sz w:val="28"/>
          <w:szCs w:val="28"/>
        </w:rPr>
        <w:t xml:space="preserve">орожная карта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по снижению </w:t>
      </w:r>
      <w:r>
        <w:rPr>
          <w:sz w:val="28"/>
          <w:szCs w:val="28"/>
        </w:rPr>
        <w:t xml:space="preserve">комплаенс</w:t>
      </w:r>
      <w:r>
        <w:rPr>
          <w:sz w:val="28"/>
          <w:szCs w:val="28"/>
        </w:rPr>
        <w:t xml:space="preserve">-рисков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Мошковского</w:t>
      </w:r>
      <w:r>
        <w:rPr>
          <w:sz w:val="28"/>
          <w:szCs w:val="28"/>
        </w:rPr>
        <w:t xml:space="preserve"> района Новосибирской области на 2024 год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46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3969"/>
        <w:gridCol w:w="2551"/>
        <w:gridCol w:w="2384"/>
        <w:gridCol w:w="3086"/>
      </w:tblGrid>
      <w:tr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89" w:type="dxa"/>
            <w:textDirection w:val="lrTb"/>
            <w:noWrap w:val="false"/>
          </w:tcPr>
          <w:p>
            <w:pPr>
              <w:pStyle w:val="968"/>
              <w:jc w:val="center"/>
              <w:spacing w:before="0" w:after="0" w:line="240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Комплаенс</w:t>
            </w:r>
            <w:r>
              <w:rPr>
                <w:rStyle w:val="969"/>
                <w:sz w:val="28"/>
                <w:szCs w:val="28"/>
              </w:rPr>
              <w:t xml:space="preserve"> -риск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textDirection w:val="lrTb"/>
            <w:noWrap w:val="false"/>
          </w:tcPr>
          <w:p>
            <w:pPr>
              <w:pStyle w:val="968"/>
              <w:jc w:val="center"/>
              <w:spacing w:before="0" w:after="0" w:line="302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Мероприятия по минимизации и устранению </w:t>
            </w:r>
            <w:r>
              <w:rPr>
                <w:rStyle w:val="969"/>
                <w:sz w:val="28"/>
                <w:szCs w:val="28"/>
              </w:rPr>
              <w:t xml:space="preserve">комплаенс</w:t>
            </w:r>
            <w:r>
              <w:rPr>
                <w:rStyle w:val="969"/>
                <w:sz w:val="28"/>
                <w:szCs w:val="28"/>
              </w:rPr>
              <w:t xml:space="preserve">-риска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pStyle w:val="968"/>
              <w:jc w:val="center"/>
              <w:spacing w:before="0" w:after="120" w:line="240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Ответственный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68"/>
              <w:jc w:val="center"/>
              <w:spacing w:before="120" w:after="0" w:line="240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исполнитель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84" w:type="dxa"/>
            <w:textDirection w:val="lrTb"/>
            <w:noWrap w:val="false"/>
          </w:tcPr>
          <w:p>
            <w:pPr>
              <w:pStyle w:val="968"/>
              <w:jc w:val="center"/>
              <w:spacing w:before="0" w:after="0" w:line="293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Срок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68"/>
              <w:jc w:val="center"/>
              <w:spacing w:before="0" w:after="0" w:line="293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исполнения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68"/>
              <w:jc w:val="center"/>
              <w:spacing w:before="0" w:after="0" w:line="293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мероприятий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86" w:type="dxa"/>
            <w:textDirection w:val="lrTb"/>
            <w:noWrap w:val="false"/>
          </w:tcPr>
          <w:p>
            <w:pPr>
              <w:pStyle w:val="968"/>
              <w:jc w:val="center"/>
              <w:spacing w:before="0" w:after="120" w:line="240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Ожидаемый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68"/>
              <w:jc w:val="center"/>
              <w:spacing w:before="120" w:after="0" w:line="240" w:lineRule="exact"/>
              <w:shd w:val="clear" w:color="auto" w:fill="auto"/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результат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8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Нарушения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антимонопольного</w:t>
            </w:r>
            <w:r>
              <w:rPr>
                <w:rFonts w:eastAsia="Calibri"/>
                <w:szCs w:val="28"/>
                <w:lang w:eastAsia="en-US"/>
              </w:rPr>
              <w:t xml:space="preserve"> законодательства  при подготовке проектов муниципальных нормативных правовых актов</w:t>
            </w:r>
            <w:r>
              <w:rPr>
                <w:rFonts w:eastAsia="Calibri"/>
                <w:szCs w:val="28"/>
                <w:lang w:eastAsia="en-US"/>
              </w:rPr>
              <w:t xml:space="preserve"> (далее – МНПА).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Повышение уровня системы внутреннего контроля. Эффективное проведение правовой экспертизы, соблюдение установленных нормативов на проведение согласования проектов </w:t>
            </w:r>
            <w:r>
              <w:rPr>
                <w:rFonts w:eastAsia="Calibri"/>
                <w:szCs w:val="28"/>
                <w:lang w:eastAsia="en-US"/>
              </w:rPr>
              <w:t xml:space="preserve">М</w:t>
            </w:r>
            <w:r>
              <w:rPr>
                <w:rFonts w:eastAsia="Calibri"/>
                <w:szCs w:val="28"/>
                <w:lang w:eastAsia="en-US"/>
              </w:rPr>
              <w:t xml:space="preserve">НПА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Повышение квалификации сотрудников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Юридическ</w:t>
            </w:r>
            <w:r>
              <w:rPr>
                <w:rFonts w:eastAsia="Calibri"/>
                <w:szCs w:val="28"/>
                <w:lang w:eastAsia="en-US"/>
              </w:rPr>
              <w:t xml:space="preserve">ий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  <w:t xml:space="preserve">отдел администрации </w:t>
            </w:r>
            <w:r>
              <w:rPr>
                <w:rFonts w:eastAsia="Calibri"/>
                <w:szCs w:val="28"/>
                <w:lang w:eastAsia="en-US"/>
              </w:rPr>
              <w:t xml:space="preserve">Мошковского</w:t>
            </w:r>
            <w:r>
              <w:rPr>
                <w:rFonts w:eastAsia="Calibri"/>
                <w:szCs w:val="28"/>
                <w:lang w:eastAsia="en-US"/>
              </w:rPr>
              <w:t xml:space="preserve"> района Новосибирской области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Ответственные исполнители за подготовку проектов </w:t>
            </w:r>
            <w:r>
              <w:rPr>
                <w:rFonts w:eastAsia="Calibri"/>
                <w:szCs w:val="28"/>
                <w:lang w:eastAsia="en-US"/>
              </w:rPr>
              <w:t xml:space="preserve">М</w:t>
            </w:r>
            <w:r>
              <w:rPr>
                <w:rFonts w:eastAsia="Calibri"/>
                <w:szCs w:val="28"/>
                <w:lang w:eastAsia="en-US"/>
              </w:rPr>
              <w:t xml:space="preserve">НПА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84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постоянно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86" w:type="dxa"/>
            <w:textDirection w:val="lrTb"/>
            <w:noWrap w:val="false"/>
          </w:tcPr>
          <w:p>
            <w:pPr>
              <w:ind w:firstLine="0"/>
              <w:spacing w:after="200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Устранение нарушений антимонопольного законодательства при подготовке проектов</w:t>
            </w:r>
            <w:r>
              <w:rPr>
                <w:rFonts w:eastAsia="Calibri"/>
                <w:szCs w:val="28"/>
                <w:lang w:eastAsia="en-US"/>
              </w:rPr>
              <w:t xml:space="preserve"> МНПА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spacing w:after="200"/>
              <w:rPr>
                <w:rFonts w:eastAsia="Calibri"/>
                <w:szCs w:val="28"/>
                <w:lang w:eastAsia="en-US"/>
              </w:rPr>
            </w:pPr>
            <w:r>
              <w:rPr>
                <w:rStyle w:val="969"/>
                <w:color w:val="auto"/>
                <w:sz w:val="28"/>
                <w:szCs w:val="28"/>
              </w:rPr>
              <w:t xml:space="preserve">Минимизация рисков</w:t>
            </w:r>
            <w:r>
              <w:rPr>
                <w:rStyle w:val="969"/>
                <w:color w:val="auto"/>
                <w:sz w:val="28"/>
                <w:szCs w:val="28"/>
              </w:rPr>
              <w:t xml:space="preserve"> </w:t>
            </w:r>
            <w:r>
              <w:rPr>
                <w:rStyle w:val="969"/>
                <w:color w:val="auto"/>
                <w:sz w:val="28"/>
                <w:szCs w:val="28"/>
              </w:rPr>
              <w:t xml:space="preserve">при подготовке проектов</w:t>
            </w:r>
            <w:r>
              <w:rPr>
                <w:rStyle w:val="969"/>
                <w:color w:val="auto"/>
                <w:sz w:val="28"/>
                <w:szCs w:val="28"/>
              </w:rPr>
              <w:t xml:space="preserve"> МНПА</w:t>
            </w:r>
            <w:r>
              <w:rPr>
                <w:rStyle w:val="969"/>
                <w:color w:val="auto"/>
                <w:sz w:val="28"/>
                <w:szCs w:val="28"/>
              </w:rPr>
              <w:t xml:space="preserve"> за счет повышения уровня компетенции сотрудников</w:t>
            </w:r>
            <w:r>
              <w:rPr>
                <w:rStyle w:val="969"/>
                <w:color w:val="auto"/>
                <w:sz w:val="28"/>
                <w:szCs w:val="28"/>
              </w:rPr>
              <w:t xml:space="preserve">.</w:t>
            </w:r>
            <w:r>
              <w:rPr>
                <w:rStyle w:val="969"/>
                <w:color w:val="auto"/>
                <w:sz w:val="28"/>
                <w:szCs w:val="28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</w:tr>
      <w:tr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8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Style w:val="969"/>
                <w:sz w:val="28"/>
                <w:szCs w:val="28"/>
              </w:rPr>
              <w:t xml:space="preserve">Создание необоснованных преимуществ юридическим </w:t>
            </w:r>
            <w:r>
              <w:rPr>
                <w:rFonts w:eastAsia="Calibri"/>
                <w:szCs w:val="28"/>
                <w:lang w:eastAsia="en-US"/>
              </w:rPr>
              <w:t xml:space="preserve">лицам, индивидуальным предпринимателям – производителям товаров, работ, услуг.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Повышение уровня системы внутреннего контроля.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Повышение уровня проведения заседаний </w:t>
            </w:r>
            <w:r>
              <w:rPr>
                <w:rFonts w:eastAsia="Calibri"/>
                <w:szCs w:val="28"/>
                <w:lang w:eastAsia="en-US"/>
              </w:rPr>
              <w:t xml:space="preserve">комиссии </w:t>
            </w:r>
            <w:r>
              <w:rPr>
                <w:rFonts w:eastAsia="Calibri"/>
                <w:szCs w:val="28"/>
                <w:lang w:eastAsia="en-US"/>
              </w:rPr>
              <w:t xml:space="preserve">по </w:t>
            </w:r>
            <w:r>
              <w:rPr>
                <w:szCs w:val="28"/>
              </w:rPr>
              <w:t xml:space="preserve">развитию </w:t>
            </w:r>
            <w:r>
              <w:rPr>
                <w:szCs w:val="28"/>
              </w:rPr>
              <w:t xml:space="preserve">субъектов малого и среднего предпринимательства для оказания им финансовой поддержки</w:t>
            </w:r>
            <w:r>
              <w:rPr>
                <w:szCs w:val="28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Соблюдение порядка 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предоставления</w:t>
            </w:r>
            <w:r>
              <w:rPr>
                <w:bCs/>
                <w:szCs w:val="28"/>
              </w:rPr>
              <w:t xml:space="preserve"> субсидий, в том числе грантов в форме субсидий, юридическим ли</w:t>
            </w:r>
            <w:r>
              <w:rPr>
                <w:bCs/>
                <w:szCs w:val="28"/>
              </w:rPr>
              <w:t xml:space="preserve">цам (за исключением субсидий государственным (муниципальным) учреждениям), индивидуальным предпринимателям – производителям товаров, работ, услуг на реализацию мероприятий муниципальной программы «Развитие субъектов малого и среднего предпринимательства в </w:t>
            </w:r>
            <w:r>
              <w:rPr>
                <w:bCs/>
                <w:szCs w:val="28"/>
              </w:rPr>
              <w:t xml:space="preserve">Мошковском</w:t>
            </w:r>
            <w:r>
              <w:rPr>
                <w:bCs/>
                <w:szCs w:val="28"/>
              </w:rPr>
              <w:t xml:space="preserve"> районе Новосибирской области на 2023-2025 годы»</w:t>
            </w:r>
            <w:r>
              <w:rPr>
                <w:bCs/>
                <w:szCs w:val="28"/>
              </w:rPr>
            </w:r>
            <w:r>
              <w:rPr>
                <w:bCs/>
                <w:szCs w:val="28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Повышение квалификации сотрудников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Управление экономического развития и труда</w:t>
            </w:r>
            <w:r>
              <w:rPr>
                <w:rFonts w:eastAsia="Calibri"/>
                <w:szCs w:val="28"/>
                <w:lang w:eastAsia="en-US"/>
              </w:rPr>
              <w:t xml:space="preserve"> администрации </w:t>
            </w:r>
            <w:r>
              <w:rPr>
                <w:rFonts w:eastAsia="Calibri"/>
                <w:szCs w:val="28"/>
                <w:lang w:eastAsia="en-US"/>
              </w:rPr>
              <w:t xml:space="preserve">Мошковского</w:t>
            </w:r>
            <w:r>
              <w:rPr>
                <w:rFonts w:eastAsia="Calibri"/>
                <w:szCs w:val="28"/>
                <w:lang w:eastAsia="en-US"/>
              </w:rPr>
              <w:t xml:space="preserve"> района Новосибирской области.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Комиссия по рассмотрению заявок на оказание финансовой поддержки</w:t>
            </w:r>
            <w:r>
              <w:rPr>
                <w:rFonts w:eastAsia="Calibri"/>
                <w:szCs w:val="28"/>
                <w:lang w:eastAsia="en-US"/>
              </w:rPr>
              <w:t xml:space="preserve"> субъектам малого и среднего бизнеса.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84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постоянно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86" w:type="dxa"/>
            <w:textDirection w:val="lrTb"/>
            <w:noWrap w:val="false"/>
          </w:tcPr>
          <w:p>
            <w:pPr>
              <w:pStyle w:val="96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Устранение нарушений антимонопольного законодательства при </w:t>
            </w:r>
            <w:r>
              <w:rPr>
                <w:sz w:val="28"/>
                <w:szCs w:val="28"/>
              </w:rPr>
              <w:t xml:space="preserve">оказании финансовой поддержки.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6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6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Минимизация риска за счет повышения уровня компетенции сотрудников</w:t>
            </w:r>
            <w:r>
              <w:rPr>
                <w:sz w:val="28"/>
                <w:szCs w:val="28"/>
              </w:rPr>
              <w:t xml:space="preserve">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6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pStyle w:val="96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8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Style w:val="969"/>
                <w:sz w:val="28"/>
                <w:szCs w:val="28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Нарушения при осуществлении закупок товаров, работ, услуг для обеспечения муниципальных нужд, повлекшие нарушения антимонопольного законодательства</w:t>
            </w:r>
            <w:r>
              <w:rPr>
                <w:rFonts w:eastAsia="Calibri"/>
                <w:szCs w:val="28"/>
                <w:lang w:eastAsia="en-US"/>
              </w:rPr>
              <w:t xml:space="preserve">, законодательства в сфере закупок</w:t>
            </w:r>
            <w:r>
              <w:rPr>
                <w:rStyle w:val="969"/>
                <w:sz w:val="28"/>
                <w:szCs w:val="28"/>
              </w:rPr>
            </w:r>
            <w:r>
              <w:rPr>
                <w:rStyle w:val="969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Style w:val="969"/>
                <w:sz w:val="28"/>
                <w:szCs w:val="28"/>
              </w:rPr>
              <w:outlineLvl w:val="1"/>
            </w:pPr>
            <w:r>
              <w:rPr>
                <w:rStyle w:val="969"/>
                <w:sz w:val="28"/>
                <w:szCs w:val="28"/>
              </w:rPr>
              <w:t xml:space="preserve">Осуществление внутреннего муниципального контроля</w:t>
            </w:r>
            <w:r>
              <w:rPr>
                <w:rStyle w:val="969"/>
                <w:sz w:val="28"/>
                <w:szCs w:val="28"/>
              </w:rPr>
              <w:t xml:space="preserve"> за соблюдением требований законодательства в сфере закупок.</w:t>
            </w:r>
            <w:r>
              <w:rPr>
                <w:rStyle w:val="969"/>
                <w:sz w:val="28"/>
                <w:szCs w:val="28"/>
              </w:rPr>
            </w:r>
            <w:r>
              <w:rPr>
                <w:rStyle w:val="969"/>
                <w:sz w:val="28"/>
                <w:szCs w:val="28"/>
              </w:rPr>
            </w:r>
          </w:p>
          <w:p>
            <w:pPr>
              <w:ind w:firstLine="0"/>
              <w:tabs>
                <w:tab w:val="left" w:pos="-142" w:leader="none"/>
              </w:tabs>
              <w:rPr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Соблюдение аукционной комиссией </w:t>
            </w:r>
            <w:r>
              <w:rPr>
                <w:szCs w:val="28"/>
              </w:rPr>
              <w:t xml:space="preserve">законодательства о контрактной системе в сфере закупок</w:t>
            </w:r>
            <w:r>
              <w:rPr>
                <w:szCs w:val="28"/>
              </w:rPr>
              <w:t xml:space="preserve">. 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968"/>
              <w:spacing w:before="0" w:after="0" w:line="298" w:lineRule="exact"/>
              <w:shd w:val="clear" w:color="auto" w:fill="auto"/>
              <w:tabs>
                <w:tab w:val="left" w:pos="876" w:leader="none"/>
              </w:tabs>
              <w:rPr>
                <w:sz w:val="28"/>
                <w:szCs w:val="28"/>
              </w:rPr>
            </w:pPr>
            <w:r>
              <w:rPr>
                <w:rStyle w:val="969"/>
                <w:sz w:val="28"/>
                <w:szCs w:val="28"/>
              </w:rPr>
              <w:t xml:space="preserve">Повышение квалификации сотрудников, ответственных за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Style w:val="969"/>
                <w:sz w:val="28"/>
                <w:szCs w:val="28"/>
              </w:rPr>
              <w:t xml:space="preserve">проведение закупок</w:t>
            </w:r>
            <w:r>
              <w:rPr>
                <w:rStyle w:val="969"/>
                <w:sz w:val="28"/>
                <w:szCs w:val="28"/>
              </w:rPr>
              <w:t xml:space="preserve">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Style w:val="969"/>
                <w:sz w:val="28"/>
                <w:szCs w:val="28"/>
              </w:rPr>
              <w:outlineLvl w:val="1"/>
            </w:pPr>
            <w:r>
              <w:rPr>
                <w:sz w:val="28"/>
                <w:szCs w:val="28"/>
              </w:rPr>
            </w:r>
            <w:r>
              <w:rPr>
                <w:rStyle w:val="969"/>
                <w:sz w:val="28"/>
                <w:szCs w:val="28"/>
              </w:rPr>
            </w:r>
            <w:r>
              <w:rPr>
                <w:rStyle w:val="969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Структурные подразделения администрации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  <w:t xml:space="preserve">Мошковского</w:t>
            </w:r>
            <w:r>
              <w:rPr>
                <w:rFonts w:eastAsia="Calibri"/>
                <w:szCs w:val="28"/>
                <w:lang w:eastAsia="en-US"/>
              </w:rPr>
              <w:t xml:space="preserve"> района Новосибирской области.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Контрактная служба администрации </w:t>
            </w:r>
            <w:r>
              <w:rPr>
                <w:rFonts w:eastAsia="Calibri"/>
                <w:szCs w:val="28"/>
                <w:lang w:eastAsia="en-US"/>
              </w:rPr>
              <w:t xml:space="preserve">Мошковского</w:t>
            </w:r>
            <w:r>
              <w:rPr>
                <w:rFonts w:eastAsia="Calibri"/>
                <w:szCs w:val="28"/>
                <w:lang w:eastAsia="en-US"/>
              </w:rPr>
              <w:t xml:space="preserve"> района Новосибирской области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84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постоянно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86" w:type="dxa"/>
            <w:textDirection w:val="lrTb"/>
            <w:noWrap w:val="false"/>
          </w:tcPr>
          <w:p>
            <w:pPr>
              <w:ind w:firstLine="0"/>
              <w:spacing w:after="200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 xml:space="preserve">Отсутствие </w:t>
            </w:r>
            <w:r>
              <w:rPr>
                <w:color w:val="000000"/>
                <w:szCs w:val="28"/>
                <w:shd w:val="clear" w:color="auto" w:fill="ffffff"/>
              </w:rPr>
              <w:t xml:space="preserve">нарушений </w:t>
            </w:r>
            <w:r>
              <w:rPr>
                <w:color w:val="000000"/>
                <w:szCs w:val="28"/>
                <w:shd w:val="clear" w:color="auto" w:fill="ffffff"/>
              </w:rPr>
              <w:t xml:space="preserve"> в</w:t>
            </w:r>
            <w:r>
              <w:rPr>
                <w:color w:val="000000"/>
                <w:szCs w:val="28"/>
                <w:shd w:val="clear" w:color="auto" w:fill="ffffff"/>
              </w:rPr>
              <w:t xml:space="preserve"> сфере закупок товаров, работ и услуг.</w:t>
            </w:r>
            <w:r>
              <w:rPr>
                <w:color w:val="000000"/>
                <w:szCs w:val="28"/>
                <w:shd w:val="clear" w:color="auto" w:fill="ffffff"/>
              </w:rPr>
            </w:r>
            <w:r>
              <w:rPr>
                <w:color w:val="000000"/>
                <w:szCs w:val="28"/>
                <w:shd w:val="clear" w:color="auto" w:fill="ffffff"/>
              </w:rPr>
            </w:r>
          </w:p>
          <w:p>
            <w:pPr>
              <w:pStyle w:val="96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Минимизация риска за счет повышения уровня компетенции сотрудников</w:t>
            </w:r>
            <w:r>
              <w:rPr>
                <w:sz w:val="28"/>
                <w:szCs w:val="28"/>
              </w:rPr>
              <w:t xml:space="preserve">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ind w:firstLine="0"/>
              <w:spacing w:after="200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</w:tr>
      <w:tr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8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Нарушения антимонопольного законодательства при заключении договоров в отношении   муниципального имущества. 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Контроль за соблюдением административного регламента </w:t>
            </w:r>
            <w:r>
              <w:t xml:space="preserve">предоставления муниципальной услуги «Предоставление в аренду имущества муниципальной казны без проведения торгов»</w:t>
            </w:r>
            <w:r>
              <w:rPr>
                <w:rFonts w:eastAsia="Calibri"/>
                <w:szCs w:val="28"/>
                <w:lang w:eastAsia="en-US"/>
              </w:rPr>
              <w:t xml:space="preserve"> Повышение квалификации сотрудников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Управление имущественных и земельных отношений</w:t>
            </w:r>
            <w:r>
              <w:rPr>
                <w:rFonts w:eastAsia="Calibri"/>
                <w:szCs w:val="28"/>
                <w:lang w:eastAsia="en-US"/>
              </w:rPr>
              <w:t xml:space="preserve"> администрации </w:t>
            </w:r>
            <w:r>
              <w:rPr>
                <w:rFonts w:eastAsia="Calibri"/>
                <w:szCs w:val="28"/>
                <w:lang w:eastAsia="en-US"/>
              </w:rPr>
              <w:t xml:space="preserve">Мошковского</w:t>
            </w:r>
            <w:r>
              <w:rPr>
                <w:rFonts w:eastAsia="Calibri"/>
                <w:szCs w:val="28"/>
                <w:lang w:eastAsia="en-US"/>
              </w:rPr>
              <w:t xml:space="preserve"> района Новосибирской области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84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постоянно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86" w:type="dxa"/>
            <w:textDirection w:val="lrTb"/>
            <w:noWrap w:val="false"/>
          </w:tcPr>
          <w:p>
            <w:pPr>
              <w:ind w:firstLine="0"/>
              <w:spacing w:after="200" w:line="276" w:lineRule="auto"/>
              <w:rPr>
                <w:rFonts w:eastAsia="Calibri"/>
                <w:szCs w:val="28"/>
                <w:lang w:eastAsia="en-US"/>
              </w:rPr>
            </w:pPr>
            <w:r>
              <w:rPr>
                <w:rStyle w:val="969"/>
                <w:sz w:val="28"/>
                <w:szCs w:val="28"/>
              </w:rPr>
              <w:t xml:space="preserve">Минимизация рисков нарушений за счет повышения уровня компетенции сотрудников и повышения уровня контроля со стороны руководителя</w:t>
            </w:r>
            <w:r>
              <w:rPr>
                <w:rStyle w:val="969"/>
                <w:sz w:val="28"/>
                <w:szCs w:val="28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</w:tr>
      <w:tr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8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szCs w:val="28"/>
              </w:rPr>
              <w:t xml:space="preserve">Предоставление в аренду (собственность) земельных участков, находящихся в </w:t>
            </w:r>
            <w:r>
              <w:rPr>
                <w:szCs w:val="28"/>
              </w:rPr>
              <w:t xml:space="preserve">муниципальной </w:t>
            </w:r>
            <w:r>
              <w:rPr>
                <w:szCs w:val="28"/>
              </w:rPr>
              <w:t xml:space="preserve">собственности</w:t>
            </w:r>
            <w:r>
              <w:rPr>
                <w:szCs w:val="28"/>
              </w:rPr>
              <w:t xml:space="preserve">.</w:t>
            </w:r>
            <w:r>
              <w:rPr>
                <w:szCs w:val="28"/>
              </w:rPr>
              <w:t xml:space="preserve">  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Контроль за </w:t>
            </w:r>
            <w:r>
              <w:rPr>
                <w:rFonts w:eastAsia="Calibri"/>
                <w:szCs w:val="28"/>
                <w:lang w:eastAsia="en-US"/>
              </w:rPr>
              <w:t xml:space="preserve">соблюдением  </w:t>
            </w:r>
            <w:r>
              <w:rPr>
                <w:rFonts w:eastAsia="Calibri"/>
                <w:szCs w:val="28"/>
                <w:lang w:eastAsia="en-US"/>
              </w:rPr>
              <w:t xml:space="preserve">административного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  <w:t xml:space="preserve">регламента</w:t>
            </w:r>
            <w:r>
              <w:rPr>
                <w:rFonts w:eastAsia="Calibri"/>
                <w:szCs w:val="28"/>
                <w:lang w:eastAsia="en-US"/>
              </w:rPr>
              <w:t xml:space="preserve"> предоставления муниципальной услуги </w:t>
            </w:r>
            <w:r>
              <w:t xml:space="preserve">«Предоставление земельных </w:t>
            </w:r>
            <w:r>
              <w:t xml:space="preserve">участков, находящихся в муниципальной собственности или государственная собственность на которые не разграничена на торгах»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Повышение квалификации сотрудников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Управление имущественных и земельных отношений</w:t>
            </w:r>
            <w:r>
              <w:rPr>
                <w:rFonts w:eastAsia="Calibri"/>
                <w:szCs w:val="28"/>
                <w:lang w:eastAsia="en-US"/>
              </w:rPr>
              <w:t xml:space="preserve"> администрации </w:t>
            </w:r>
            <w:r>
              <w:rPr>
                <w:rFonts w:eastAsia="Calibri"/>
                <w:szCs w:val="28"/>
                <w:lang w:eastAsia="en-US"/>
              </w:rPr>
              <w:t xml:space="preserve">Мошковского</w:t>
            </w:r>
            <w:r>
              <w:rPr>
                <w:rFonts w:eastAsia="Calibri"/>
                <w:szCs w:val="28"/>
                <w:lang w:eastAsia="en-US"/>
              </w:rPr>
              <w:t xml:space="preserve"> района Новосибирской области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84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постоянно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86" w:type="dxa"/>
            <w:textDirection w:val="lrTb"/>
            <w:noWrap w:val="false"/>
          </w:tcPr>
          <w:p>
            <w:pPr>
              <w:ind w:firstLine="0"/>
              <w:spacing w:after="200" w:line="276" w:lineRule="auto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Устранение нарушений при предоставлении в аренду (собственность) земельных участков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  <w:t xml:space="preserve">находящихся в муниципальной собственности.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spacing w:after="200" w:line="276" w:lineRule="auto"/>
              <w:rPr>
                <w:rFonts w:eastAsia="Calibri"/>
                <w:szCs w:val="28"/>
                <w:lang w:eastAsia="en-US"/>
              </w:rPr>
            </w:pPr>
            <w:r>
              <w:rPr>
                <w:szCs w:val="28"/>
              </w:rPr>
              <w:t xml:space="preserve">Минимизация риска за счет повышения уровня компетенции сотрудников</w:t>
            </w:r>
            <w:r>
              <w:rPr>
                <w:szCs w:val="28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</w:tr>
      <w:tr>
        <w:trPr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8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szCs w:val="28"/>
              </w:rPr>
              <w:outlineLvl w:val="1"/>
            </w:pPr>
            <w:r>
              <w:rPr>
                <w:color w:val="000000"/>
                <w:szCs w:val="28"/>
              </w:rPr>
              <w:t xml:space="preserve">Выдача разрешений на строительство, разрешений на ввод в эксплуатацию при осуществлении строительства, реконструкции, капитального ремонта объектов</w:t>
            </w:r>
            <w:r>
              <w:rPr>
                <w:color w:val="000000"/>
                <w:szCs w:val="28"/>
              </w:rPr>
              <w:t xml:space="preserve"> (далее – разрешение)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969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Контроль за </w:t>
            </w:r>
            <w:r>
              <w:rPr>
                <w:rFonts w:eastAsia="Calibri"/>
                <w:szCs w:val="28"/>
                <w:lang w:eastAsia="en-US"/>
              </w:rPr>
              <w:t xml:space="preserve">соблюдением  </w:t>
            </w:r>
            <w:r>
              <w:rPr>
                <w:rFonts w:eastAsia="Calibri"/>
                <w:szCs w:val="28"/>
                <w:lang w:eastAsia="en-US"/>
              </w:rPr>
              <w:t xml:space="preserve">административного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  <w:t xml:space="preserve">регламента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t xml:space="preserve">предоставления муниципальной услуги «Выдача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строительство»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widowControl w:val="off"/>
              <w:tabs>
                <w:tab w:val="left" w:pos="851" w:leader="none"/>
              </w:tabs>
              <w:rPr>
                <w:szCs w:val="28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Повышение квалификации сотрудников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1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МКУ «Центр оказания муниципальных услуг </w:t>
            </w:r>
            <w:r>
              <w:rPr>
                <w:rFonts w:eastAsia="Calibri"/>
                <w:szCs w:val="28"/>
                <w:lang w:eastAsia="en-US"/>
              </w:rPr>
              <w:t xml:space="preserve">Мошковского</w:t>
            </w:r>
            <w:r>
              <w:rPr>
                <w:rFonts w:eastAsia="Calibri"/>
                <w:szCs w:val="28"/>
                <w:lang w:eastAsia="en-US"/>
              </w:rPr>
              <w:t xml:space="preserve"> района Новосибирской области»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84" w:type="dxa"/>
            <w:textDirection w:val="lrTb"/>
            <w:noWrap w:val="false"/>
          </w:tcPr>
          <w:p>
            <w:pPr>
              <w:ind w:firstLine="0"/>
              <w:widowControl w:val="off"/>
              <w:tabs>
                <w:tab w:val="left" w:pos="851" w:leader="none"/>
              </w:tabs>
              <w:rPr>
                <w:rFonts w:eastAsia="Calibri"/>
                <w:szCs w:val="28"/>
                <w:lang w:eastAsia="en-US"/>
              </w:rPr>
              <w:outlineLvl w:val="1"/>
            </w:pPr>
            <w:r>
              <w:rPr>
                <w:rFonts w:eastAsia="Calibri"/>
                <w:szCs w:val="28"/>
                <w:lang w:eastAsia="en-US"/>
              </w:rPr>
              <w:t xml:space="preserve">постоянно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86" w:type="dxa"/>
            <w:textDirection w:val="lrTb"/>
            <w:noWrap w:val="false"/>
          </w:tcPr>
          <w:p>
            <w:pPr>
              <w:ind w:firstLine="0"/>
              <w:spacing w:after="200" w:line="276" w:lineRule="auto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Устранение нарушений при выдаче разрешений</w:t>
            </w:r>
            <w:r>
              <w:rPr>
                <w:rFonts w:eastAsia="Calibri"/>
                <w:szCs w:val="28"/>
                <w:lang w:eastAsia="en-US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  <w:p>
            <w:pPr>
              <w:ind w:firstLine="0"/>
              <w:spacing w:after="200" w:line="276" w:lineRule="auto"/>
              <w:rPr>
                <w:rFonts w:eastAsia="Calibri"/>
                <w:szCs w:val="28"/>
                <w:lang w:eastAsia="en-US"/>
              </w:rPr>
            </w:pPr>
            <w:r>
              <w:rPr>
                <w:szCs w:val="28"/>
              </w:rPr>
              <w:t xml:space="preserve">Минимизация риска за счет повышения уровня компетенции сотрудников</w:t>
            </w:r>
            <w:r>
              <w:rPr>
                <w:szCs w:val="28"/>
              </w:rPr>
              <w:t xml:space="preserve">.</w:t>
            </w:r>
            <w:r>
              <w:rPr>
                <w:rFonts w:eastAsia="Calibri"/>
                <w:szCs w:val="28"/>
                <w:lang w:eastAsia="en-US"/>
              </w:rPr>
            </w:r>
            <w:r>
              <w:rPr>
                <w:rFonts w:eastAsia="Calibri"/>
                <w:szCs w:val="28"/>
                <w:lang w:eastAsia="en-US"/>
              </w:rPr>
            </w:r>
          </w:p>
        </w:tc>
      </w:tr>
    </w:tbl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0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pStyle w:val="968"/>
        <w:ind w:left="540"/>
        <w:jc w:val="center"/>
        <w:spacing w:before="0" w:after="0" w:line="298" w:lineRule="exact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0"/>
        <w:jc w:val="center"/>
      </w:pPr>
      <w:r/>
      <w:r/>
    </w:p>
    <w:p>
      <w:pPr>
        <w:ind w:firstLine="0"/>
        <w:rPr>
          <w:sz w:val="20"/>
        </w:rPr>
      </w:pPr>
      <w:r/>
      <w:bookmarkStart w:id="0" w:name="_GoBack"/>
      <w:r/>
      <w:bookmarkEnd w:id="0"/>
      <w:r>
        <w:rPr>
          <w:sz w:val="20"/>
        </w:rPr>
      </w:r>
      <w:r>
        <w:rPr>
          <w:sz w:val="20"/>
        </w:rPr>
      </w:r>
    </w:p>
    <w:sectPr>
      <w:headerReference w:type="default" r:id="rId10"/>
      <w:footnotePr/>
      <w:endnotePr/>
      <w:type w:val="nextPage"/>
      <w:pgSz w:w="16838" w:h="11906" w:orient="landscape"/>
      <w:pgMar w:top="851" w:right="1134" w:bottom="1418" w:left="567" w:header="510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Calibri">
    <w:panose1 w:val="020F05020202040302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881240562"/>
      <w:docPartObj>
        <w:docPartGallery w:val="Page Numbers (Top of Page)"/>
        <w:docPartUnique w:val="true"/>
      </w:docPartObj>
      <w:rPr/>
    </w:sdtPr>
    <w:sdtContent>
      <w:p>
        <w:pPr>
          <w:pStyle w:val="957"/>
          <w:ind w:firstLine="0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</w:t>
        </w:r>
        <w:r>
          <w:fldChar w:fldCharType="end"/>
        </w:r>
        <w:r/>
      </w:p>
      <w:p>
        <w:pPr>
          <w:pStyle w:val="957"/>
          <w:ind w:firstLine="0"/>
        </w:pPr>
        <w:r/>
        <w:r/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2032535793"/>
      <w:docPartObj>
        <w:docPartGallery w:val="Page Numbers (Top of Page)"/>
        <w:docPartUnique w:val="true"/>
      </w:docPartObj>
      <w:rPr/>
    </w:sdtPr>
    <w:sdtContent>
      <w:p>
        <w:pPr>
          <w:pStyle w:val="957"/>
          <w:ind w:firstLine="0"/>
          <w:jc w:val="center"/>
        </w:pPr>
        <w:r/>
        <w:r/>
      </w:p>
      <w:p>
        <w:pPr>
          <w:pStyle w:val="957"/>
          <w:ind w:firstLine="0"/>
        </w:pPr>
        <w:r/>
        <w:r/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2" w:hanging="360"/>
        <w:tabs>
          <w:tab w:val="num" w:pos="1492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09" w:hanging="360"/>
        <w:tabs>
          <w:tab w:val="num" w:pos="1209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6" w:hanging="360"/>
        <w:tabs>
          <w:tab w:val="num" w:pos="926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3" w:hanging="360"/>
        <w:tabs>
          <w:tab w:val="num" w:pos="643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92" w:hanging="360"/>
        <w:tabs>
          <w:tab w:val="num" w:pos="1492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09" w:hanging="360"/>
        <w:tabs>
          <w:tab w:val="num" w:pos="1209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926" w:hanging="360"/>
        <w:tabs>
          <w:tab w:val="num" w:pos="926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643" w:hanging="360"/>
        <w:tabs>
          <w:tab w:val="num" w:pos="643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numStyleLink w:val="964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numStyleLink w:val="96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styleLink w:val="962"/>
    <w:lvl w:ilvl="0">
      <w:start w:val="1"/>
      <w:numFmt w:val="decimal"/>
      <w:pStyle w:val="962"/>
      <w:isLgl w:val="false"/>
      <w:suff w:val="tab"/>
      <w:lvlText w:val="%1."/>
      <w:lvlJc w:val="left"/>
      <w:pPr>
        <w:ind w:left="1429" w:hanging="36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4">
    <w:multiLevelType w:val="hybridMultilevel"/>
    <w:numStyleLink w:val="96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numStyleLink w:val="96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styleLink w:val="963"/>
    <w:lvl w:ilvl="0">
      <w:start w:val="1"/>
      <w:numFmt w:val="decimal"/>
      <w:pStyle w:val="963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multiLevelType w:val="hybridMultilevel"/>
    <w:styleLink w:val="964"/>
    <w:lvl w:ilvl="0">
      <w:start w:val="1"/>
      <w:numFmt w:val="decimal"/>
      <w:pStyle w:val="964"/>
      <w:isLgl w:val="false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19">
    <w:multiLevelType w:val="hybridMultilevel"/>
    <w:numStyleLink w:val="96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0">
    <w:multiLevelType w:val="hybridMultilevel"/>
    <w:numStyleLink w:val="963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multiLevelType w:val="hybridMultilevel"/>
    <w:numStyleLink w:val="964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4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multiLevelType w:val="hybridMultilevel"/>
    <w:styleLink w:val="965"/>
    <w:lvl w:ilvl="0">
      <w:start w:val="1"/>
      <w:numFmt w:val="decimal"/>
      <w:pStyle w:val="965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multiLevelType w:val="hybridMultilevel"/>
    <w:numStyleLink w:val="965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8">
    <w:multiLevelType w:val="hybridMultilevel"/>
    <w:numStyleLink w:val="96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multiLevelType w:val="hybridMultilevel"/>
    <w:numStyleLink w:val="963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1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2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709" w:firstLine="0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5">
    <w:multiLevelType w:val="hybridMultilevel"/>
    <w:numStyleLink w:val="96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6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709"/>
      </w:pPr>
      <w:rPr>
        <w:rFonts w:hint="default" w:ascii="Times New Roman" w:hAnsi="Times New Roman"/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isLgl w:val="false"/>
      <w:suff w:val="tab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isLgl w:val="false"/>
      <w:suff w:val="tab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isLgl w:val="false"/>
      <w:suff w:val="tab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isLgl w:val="false"/>
      <w:suff w:val="tab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isLgl w:val="false"/>
      <w:suff w:val="tab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isLgl w:val="false"/>
      <w:suff w:val="tab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multiLevelType w:val="hybridMultilevel"/>
    <w:numStyleLink w:val="962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1"/>
  </w:num>
  <w:num w:numId="12">
    <w:abstractNumId w:val="18"/>
  </w:num>
  <w:num w:numId="13">
    <w:abstractNumId w:val="12"/>
  </w:num>
  <w:num w:numId="14">
    <w:abstractNumId w:val="35"/>
  </w:num>
  <w:num w:numId="15">
    <w:abstractNumId w:val="28"/>
  </w:num>
  <w:num w:numId="16">
    <w:abstractNumId w:val="13"/>
  </w:num>
  <w:num w:numId="17">
    <w:abstractNumId w:val="19"/>
  </w:num>
  <w:num w:numId="18">
    <w:abstractNumId w:val="14"/>
  </w:num>
  <w:num w:numId="19">
    <w:abstractNumId w:val="11"/>
  </w:num>
  <w:num w:numId="20">
    <w:abstractNumId w:val="16"/>
  </w:num>
  <w:num w:numId="21">
    <w:abstractNumId w:val="30"/>
  </w:num>
  <w:num w:numId="22">
    <w:abstractNumId w:val="20"/>
  </w:num>
  <w:num w:numId="23">
    <w:abstractNumId w:val="32"/>
  </w:num>
  <w:num w:numId="24">
    <w:abstractNumId w:val="37"/>
  </w:num>
  <w:num w:numId="25">
    <w:abstractNumId w:val="15"/>
  </w:num>
  <w:num w:numId="26">
    <w:abstractNumId w:val="29"/>
  </w:num>
  <w:num w:numId="27">
    <w:abstractNumId w:val="24"/>
  </w:num>
  <w:num w:numId="28">
    <w:abstractNumId w:val="25"/>
  </w:num>
  <w:num w:numId="29">
    <w:abstractNumId w:val="17"/>
  </w:num>
  <w:num w:numId="30">
    <w:abstractNumId w:val="23"/>
  </w:num>
  <w:num w:numId="31">
    <w:abstractNumId w:val="10"/>
  </w:num>
  <w:num w:numId="32">
    <w:abstractNumId w:val="31"/>
  </w:num>
  <w:num w:numId="33">
    <w:abstractNumId w:val="26"/>
  </w:num>
  <w:num w:numId="34">
    <w:abstractNumId w:val="36"/>
  </w:num>
  <w:num w:numId="35">
    <w:abstractNumId w:val="27"/>
  </w:num>
  <w:num w:numId="36">
    <w:abstractNumId w:val="34"/>
  </w:num>
  <w:num w:numId="37">
    <w:abstractNumId w:val="22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74">
    <w:name w:val="Heading 1 Char"/>
    <w:basedOn w:val="948"/>
    <w:link w:val="947"/>
    <w:uiPriority w:val="9"/>
    <w:rPr>
      <w:rFonts w:ascii="Arial" w:hAnsi="Arial" w:eastAsia="Arial" w:cs="Arial"/>
      <w:sz w:val="40"/>
      <w:szCs w:val="40"/>
    </w:rPr>
  </w:style>
  <w:style w:type="paragraph" w:styleId="775">
    <w:name w:val="Heading 2"/>
    <w:basedOn w:val="946"/>
    <w:next w:val="946"/>
    <w:link w:val="77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76">
    <w:name w:val="Heading 2 Char"/>
    <w:basedOn w:val="948"/>
    <w:link w:val="775"/>
    <w:uiPriority w:val="9"/>
    <w:rPr>
      <w:rFonts w:ascii="Arial" w:hAnsi="Arial" w:eastAsia="Arial" w:cs="Arial"/>
      <w:sz w:val="34"/>
    </w:rPr>
  </w:style>
  <w:style w:type="paragraph" w:styleId="777">
    <w:name w:val="Heading 3"/>
    <w:basedOn w:val="946"/>
    <w:next w:val="946"/>
    <w:link w:val="77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78">
    <w:name w:val="Heading 3 Char"/>
    <w:basedOn w:val="948"/>
    <w:link w:val="777"/>
    <w:uiPriority w:val="9"/>
    <w:rPr>
      <w:rFonts w:ascii="Arial" w:hAnsi="Arial" w:eastAsia="Arial" w:cs="Arial"/>
      <w:sz w:val="30"/>
      <w:szCs w:val="30"/>
    </w:rPr>
  </w:style>
  <w:style w:type="paragraph" w:styleId="779">
    <w:name w:val="Heading 4"/>
    <w:basedOn w:val="946"/>
    <w:next w:val="946"/>
    <w:link w:val="78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80">
    <w:name w:val="Heading 4 Char"/>
    <w:basedOn w:val="948"/>
    <w:link w:val="779"/>
    <w:uiPriority w:val="9"/>
    <w:rPr>
      <w:rFonts w:ascii="Arial" w:hAnsi="Arial" w:eastAsia="Arial" w:cs="Arial"/>
      <w:b/>
      <w:bCs/>
      <w:sz w:val="26"/>
      <w:szCs w:val="26"/>
    </w:rPr>
  </w:style>
  <w:style w:type="paragraph" w:styleId="781">
    <w:name w:val="Heading 5"/>
    <w:basedOn w:val="946"/>
    <w:next w:val="946"/>
    <w:link w:val="78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82">
    <w:name w:val="Heading 5 Char"/>
    <w:basedOn w:val="948"/>
    <w:link w:val="781"/>
    <w:uiPriority w:val="9"/>
    <w:rPr>
      <w:rFonts w:ascii="Arial" w:hAnsi="Arial" w:eastAsia="Arial" w:cs="Arial"/>
      <w:b/>
      <w:bCs/>
      <w:sz w:val="24"/>
      <w:szCs w:val="24"/>
    </w:rPr>
  </w:style>
  <w:style w:type="paragraph" w:styleId="783">
    <w:name w:val="Heading 6"/>
    <w:basedOn w:val="946"/>
    <w:next w:val="946"/>
    <w:link w:val="78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84">
    <w:name w:val="Heading 6 Char"/>
    <w:basedOn w:val="948"/>
    <w:link w:val="783"/>
    <w:uiPriority w:val="9"/>
    <w:rPr>
      <w:rFonts w:ascii="Arial" w:hAnsi="Arial" w:eastAsia="Arial" w:cs="Arial"/>
      <w:b/>
      <w:bCs/>
      <w:sz w:val="22"/>
      <w:szCs w:val="22"/>
    </w:rPr>
  </w:style>
  <w:style w:type="paragraph" w:styleId="785">
    <w:name w:val="Heading 7"/>
    <w:basedOn w:val="946"/>
    <w:next w:val="946"/>
    <w:link w:val="78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86">
    <w:name w:val="Heading 7 Char"/>
    <w:basedOn w:val="948"/>
    <w:link w:val="78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87">
    <w:name w:val="Heading 8"/>
    <w:basedOn w:val="946"/>
    <w:next w:val="946"/>
    <w:link w:val="78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88">
    <w:name w:val="Heading 8 Char"/>
    <w:basedOn w:val="948"/>
    <w:link w:val="787"/>
    <w:uiPriority w:val="9"/>
    <w:rPr>
      <w:rFonts w:ascii="Arial" w:hAnsi="Arial" w:eastAsia="Arial" w:cs="Arial"/>
      <w:i/>
      <w:iCs/>
      <w:sz w:val="22"/>
      <w:szCs w:val="22"/>
    </w:rPr>
  </w:style>
  <w:style w:type="paragraph" w:styleId="789">
    <w:name w:val="Heading 9"/>
    <w:basedOn w:val="946"/>
    <w:next w:val="946"/>
    <w:link w:val="7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90">
    <w:name w:val="Heading 9 Char"/>
    <w:basedOn w:val="948"/>
    <w:link w:val="789"/>
    <w:uiPriority w:val="9"/>
    <w:rPr>
      <w:rFonts w:ascii="Arial" w:hAnsi="Arial" w:eastAsia="Arial" w:cs="Arial"/>
      <w:i/>
      <w:iCs/>
      <w:sz w:val="21"/>
      <w:szCs w:val="21"/>
    </w:rPr>
  </w:style>
  <w:style w:type="paragraph" w:styleId="791">
    <w:name w:val="No Spacing"/>
    <w:uiPriority w:val="1"/>
    <w:qFormat/>
    <w:pPr>
      <w:spacing w:before="0" w:after="0" w:line="240" w:lineRule="auto"/>
    </w:pPr>
  </w:style>
  <w:style w:type="character" w:styleId="792">
    <w:name w:val="Title Char"/>
    <w:basedOn w:val="948"/>
    <w:link w:val="952"/>
    <w:uiPriority w:val="10"/>
    <w:rPr>
      <w:sz w:val="48"/>
      <w:szCs w:val="48"/>
    </w:rPr>
  </w:style>
  <w:style w:type="paragraph" w:styleId="793">
    <w:name w:val="Subtitle"/>
    <w:basedOn w:val="946"/>
    <w:next w:val="946"/>
    <w:link w:val="794"/>
    <w:uiPriority w:val="11"/>
    <w:qFormat/>
    <w:pPr>
      <w:spacing w:before="200" w:after="200"/>
    </w:pPr>
    <w:rPr>
      <w:sz w:val="24"/>
      <w:szCs w:val="24"/>
    </w:rPr>
  </w:style>
  <w:style w:type="character" w:styleId="794">
    <w:name w:val="Subtitle Char"/>
    <w:basedOn w:val="948"/>
    <w:link w:val="793"/>
    <w:uiPriority w:val="11"/>
    <w:rPr>
      <w:sz w:val="24"/>
      <w:szCs w:val="24"/>
    </w:rPr>
  </w:style>
  <w:style w:type="paragraph" w:styleId="795">
    <w:name w:val="Quote"/>
    <w:basedOn w:val="946"/>
    <w:next w:val="946"/>
    <w:link w:val="796"/>
    <w:uiPriority w:val="29"/>
    <w:qFormat/>
    <w:pPr>
      <w:ind w:left="720" w:right="720"/>
    </w:pPr>
    <w:rPr>
      <w:i/>
    </w:rPr>
  </w:style>
  <w:style w:type="character" w:styleId="796">
    <w:name w:val="Quote Char"/>
    <w:link w:val="795"/>
    <w:uiPriority w:val="29"/>
    <w:rPr>
      <w:i/>
    </w:rPr>
  </w:style>
  <w:style w:type="paragraph" w:styleId="797">
    <w:name w:val="Intense Quote"/>
    <w:basedOn w:val="946"/>
    <w:next w:val="946"/>
    <w:link w:val="79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98">
    <w:name w:val="Intense Quote Char"/>
    <w:link w:val="797"/>
    <w:uiPriority w:val="30"/>
    <w:rPr>
      <w:i/>
    </w:rPr>
  </w:style>
  <w:style w:type="character" w:styleId="799">
    <w:name w:val="Header Char"/>
    <w:basedOn w:val="948"/>
    <w:link w:val="957"/>
    <w:uiPriority w:val="99"/>
  </w:style>
  <w:style w:type="character" w:styleId="800">
    <w:name w:val="Footer Char"/>
    <w:basedOn w:val="948"/>
    <w:link w:val="959"/>
    <w:uiPriority w:val="99"/>
  </w:style>
  <w:style w:type="paragraph" w:styleId="801">
    <w:name w:val="Caption"/>
    <w:basedOn w:val="946"/>
    <w:next w:val="94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02">
    <w:name w:val="Caption Char"/>
    <w:basedOn w:val="801"/>
    <w:link w:val="959"/>
    <w:uiPriority w:val="99"/>
  </w:style>
  <w:style w:type="table" w:styleId="803">
    <w:name w:val="Table Grid Light"/>
    <w:basedOn w:val="94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04">
    <w:name w:val="Plain Table 1"/>
    <w:basedOn w:val="94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05">
    <w:name w:val="Plain Table 2"/>
    <w:basedOn w:val="94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06">
    <w:name w:val="Plain Table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07">
    <w:name w:val="Plain Table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Plain Table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09">
    <w:name w:val="Grid Table 1 Light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Grid Table 1 Light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Grid Table 1 Light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Grid Table 1 Light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Grid Table 1 Light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Grid Table 1 Light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Grid Table 1 Light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Grid Table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Grid Table 2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>
    <w:name w:val="Grid Table 2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>
    <w:name w:val="Grid Table 2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>
    <w:name w:val="Grid Table 2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>
    <w:name w:val="Grid Table 2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>
    <w:name w:val="Grid Table 2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>
    <w:name w:val="Grid Table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Grid Table 3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>
    <w:name w:val="Grid Table 3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>
    <w:name w:val="Grid Table 3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>
    <w:name w:val="Grid Table 3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Grid Table 3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Grid Table 3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Grid Table 4"/>
    <w:basedOn w:val="9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31">
    <w:name w:val="Grid Table 4 - Accent 1"/>
    <w:basedOn w:val="9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32">
    <w:name w:val="Grid Table 4 - Accent 2"/>
    <w:basedOn w:val="9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33">
    <w:name w:val="Grid Table 4 - Accent 3"/>
    <w:basedOn w:val="9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34">
    <w:name w:val="Grid Table 4 - Accent 4"/>
    <w:basedOn w:val="9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35">
    <w:name w:val="Grid Table 4 - Accent 5"/>
    <w:basedOn w:val="9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36">
    <w:name w:val="Grid Table 4 - Accent 6"/>
    <w:basedOn w:val="94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7">
    <w:name w:val="Grid Table 5 Dark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38">
    <w:name w:val="Grid Table 5 Dark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39">
    <w:name w:val="Grid Table 5 Dark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40">
    <w:name w:val="Grid Table 5 Dark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41">
    <w:name w:val="Grid Table 5 Dark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42">
    <w:name w:val="Grid Table 5 Dark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43">
    <w:name w:val="Grid Table 5 Dark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44">
    <w:name w:val="Grid Table 6 Colorful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45">
    <w:name w:val="Grid Table 6 Colorful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46">
    <w:name w:val="Grid Table 6 Colorful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47">
    <w:name w:val="Grid Table 6 Colorful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48">
    <w:name w:val="Grid Table 6 Colorful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49">
    <w:name w:val="Grid Table 6 Colorful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50">
    <w:name w:val="Grid Table 6 Colorful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51">
    <w:name w:val="Grid Table 7 Colorful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>
    <w:name w:val="Grid Table 7 Colorful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>
    <w:name w:val="Grid Table 7 Colorful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>
    <w:name w:val="Grid Table 7 Colorful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5">
    <w:name w:val="Grid Table 7 Colorful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6">
    <w:name w:val="Grid Table 7 Colorful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7">
    <w:name w:val="Grid Table 7 Colorful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8">
    <w:name w:val="List Table 1 Light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>
    <w:name w:val="List Table 1 Light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>
    <w:name w:val="List Table 1 Light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>
    <w:name w:val="List Table 1 Light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>
    <w:name w:val="List Table 1 Light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>
    <w:name w:val="List Table 1 Light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>
    <w:name w:val="List Table 1 Light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5">
    <w:name w:val="List Table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66">
    <w:name w:val="List Table 2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67">
    <w:name w:val="List Table 2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68">
    <w:name w:val="List Table 2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69">
    <w:name w:val="List Table 2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70">
    <w:name w:val="List Table 2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71">
    <w:name w:val="List Table 2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72">
    <w:name w:val="List Table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3">
    <w:name w:val="List Table 3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4">
    <w:name w:val="List Table 3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5">
    <w:name w:val="List Table 3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6">
    <w:name w:val="List Table 3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7">
    <w:name w:val="List Table 3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8">
    <w:name w:val="List Table 3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9">
    <w:name w:val="List Table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0">
    <w:name w:val="List Table 4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1">
    <w:name w:val="List Table 4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>
    <w:name w:val="List Table 4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>
    <w:name w:val="List Table 4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>
    <w:name w:val="List Table 4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>
    <w:name w:val="List Table 4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>
    <w:name w:val="List Table 5 Dark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7">
    <w:name w:val="List Table 5 Dark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8">
    <w:name w:val="List Table 5 Dark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89">
    <w:name w:val="List Table 5 Dark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0">
    <w:name w:val="List Table 5 Dark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1">
    <w:name w:val="List Table 5 Dark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2">
    <w:name w:val="List Table 5 Dark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3">
    <w:name w:val="List Table 6 Colorful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94">
    <w:name w:val="List Table 6 Colorful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95">
    <w:name w:val="List Table 6 Colorful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96">
    <w:name w:val="List Table 6 Colorful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97">
    <w:name w:val="List Table 6 Colorful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98">
    <w:name w:val="List Table 6 Colorful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99">
    <w:name w:val="List Table 6 Colorful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900">
    <w:name w:val="List Table 7 Colorful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901">
    <w:name w:val="List Table 7 Colorful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902">
    <w:name w:val="List Table 7 Colorful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903">
    <w:name w:val="List Table 7 Colorful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904">
    <w:name w:val="List Table 7 Colorful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905">
    <w:name w:val="List Table 7 Colorful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906">
    <w:name w:val="List Table 7 Colorful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907">
    <w:name w:val="Lined - Accent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08">
    <w:name w:val="Lined - Accent 1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09">
    <w:name w:val="Lined - Accent 2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10">
    <w:name w:val="Lined - Accent 3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11">
    <w:name w:val="Lined - Accent 4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12">
    <w:name w:val="Lined - Accent 5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13">
    <w:name w:val="Lined - Accent 6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14">
    <w:name w:val="Bordered &amp; Lined - Accent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915">
    <w:name w:val="Bordered &amp; Lined - Accent 1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916">
    <w:name w:val="Bordered &amp; Lined - Accent 2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917">
    <w:name w:val="Bordered &amp; Lined - Accent 3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918">
    <w:name w:val="Bordered &amp; Lined - Accent 4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919">
    <w:name w:val="Bordered &amp; Lined - Accent 5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920">
    <w:name w:val="Bordered &amp; Lined - Accent 6"/>
    <w:basedOn w:val="94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921">
    <w:name w:val="Bordered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922">
    <w:name w:val="Bordered - Accent 1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923">
    <w:name w:val="Bordered - Accent 2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924">
    <w:name w:val="Bordered - Accent 3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925">
    <w:name w:val="Bordered - Accent 4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926">
    <w:name w:val="Bordered - Accent 5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927">
    <w:name w:val="Bordered - Accent 6"/>
    <w:basedOn w:val="94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28">
    <w:name w:val="Hyperlink"/>
    <w:uiPriority w:val="99"/>
    <w:unhideWhenUsed/>
    <w:rPr>
      <w:color w:val="0000ff" w:themeColor="hyperlink"/>
      <w:u w:val="single"/>
    </w:rPr>
  </w:style>
  <w:style w:type="paragraph" w:styleId="929">
    <w:name w:val="footnote text"/>
    <w:basedOn w:val="946"/>
    <w:link w:val="930"/>
    <w:uiPriority w:val="99"/>
    <w:semiHidden/>
    <w:unhideWhenUsed/>
    <w:pPr>
      <w:spacing w:after="40" w:line="240" w:lineRule="auto"/>
    </w:pPr>
    <w:rPr>
      <w:sz w:val="18"/>
    </w:rPr>
  </w:style>
  <w:style w:type="character" w:styleId="930">
    <w:name w:val="Footnote Text Char"/>
    <w:link w:val="929"/>
    <w:uiPriority w:val="99"/>
    <w:rPr>
      <w:sz w:val="18"/>
    </w:rPr>
  </w:style>
  <w:style w:type="character" w:styleId="931">
    <w:name w:val="footnote reference"/>
    <w:basedOn w:val="948"/>
    <w:uiPriority w:val="99"/>
    <w:unhideWhenUsed/>
    <w:rPr>
      <w:vertAlign w:val="superscript"/>
    </w:rPr>
  </w:style>
  <w:style w:type="paragraph" w:styleId="932">
    <w:name w:val="endnote text"/>
    <w:basedOn w:val="946"/>
    <w:link w:val="933"/>
    <w:uiPriority w:val="99"/>
    <w:semiHidden/>
    <w:unhideWhenUsed/>
    <w:pPr>
      <w:spacing w:after="0" w:line="240" w:lineRule="auto"/>
    </w:pPr>
    <w:rPr>
      <w:sz w:val="20"/>
    </w:rPr>
  </w:style>
  <w:style w:type="character" w:styleId="933">
    <w:name w:val="Endnote Text Char"/>
    <w:link w:val="932"/>
    <w:uiPriority w:val="99"/>
    <w:rPr>
      <w:sz w:val="20"/>
    </w:rPr>
  </w:style>
  <w:style w:type="character" w:styleId="934">
    <w:name w:val="endnote reference"/>
    <w:basedOn w:val="948"/>
    <w:uiPriority w:val="99"/>
    <w:semiHidden/>
    <w:unhideWhenUsed/>
    <w:rPr>
      <w:vertAlign w:val="superscript"/>
    </w:rPr>
  </w:style>
  <w:style w:type="paragraph" w:styleId="935">
    <w:name w:val="toc 1"/>
    <w:basedOn w:val="946"/>
    <w:next w:val="946"/>
    <w:uiPriority w:val="39"/>
    <w:unhideWhenUsed/>
    <w:pPr>
      <w:ind w:left="0" w:right="0" w:firstLine="0"/>
      <w:spacing w:after="57"/>
    </w:pPr>
  </w:style>
  <w:style w:type="paragraph" w:styleId="936">
    <w:name w:val="toc 2"/>
    <w:basedOn w:val="946"/>
    <w:next w:val="946"/>
    <w:uiPriority w:val="39"/>
    <w:unhideWhenUsed/>
    <w:pPr>
      <w:ind w:left="283" w:right="0" w:firstLine="0"/>
      <w:spacing w:after="57"/>
    </w:pPr>
  </w:style>
  <w:style w:type="paragraph" w:styleId="937">
    <w:name w:val="toc 3"/>
    <w:basedOn w:val="946"/>
    <w:next w:val="946"/>
    <w:uiPriority w:val="39"/>
    <w:unhideWhenUsed/>
    <w:pPr>
      <w:ind w:left="567" w:right="0" w:firstLine="0"/>
      <w:spacing w:after="57"/>
    </w:pPr>
  </w:style>
  <w:style w:type="paragraph" w:styleId="938">
    <w:name w:val="toc 4"/>
    <w:basedOn w:val="946"/>
    <w:next w:val="946"/>
    <w:uiPriority w:val="39"/>
    <w:unhideWhenUsed/>
    <w:pPr>
      <w:ind w:left="850" w:right="0" w:firstLine="0"/>
      <w:spacing w:after="57"/>
    </w:pPr>
  </w:style>
  <w:style w:type="paragraph" w:styleId="939">
    <w:name w:val="toc 5"/>
    <w:basedOn w:val="946"/>
    <w:next w:val="946"/>
    <w:uiPriority w:val="39"/>
    <w:unhideWhenUsed/>
    <w:pPr>
      <w:ind w:left="1134" w:right="0" w:firstLine="0"/>
      <w:spacing w:after="57"/>
    </w:pPr>
  </w:style>
  <w:style w:type="paragraph" w:styleId="940">
    <w:name w:val="toc 6"/>
    <w:basedOn w:val="946"/>
    <w:next w:val="946"/>
    <w:uiPriority w:val="39"/>
    <w:unhideWhenUsed/>
    <w:pPr>
      <w:ind w:left="1417" w:right="0" w:firstLine="0"/>
      <w:spacing w:after="57"/>
    </w:pPr>
  </w:style>
  <w:style w:type="paragraph" w:styleId="941">
    <w:name w:val="toc 7"/>
    <w:basedOn w:val="946"/>
    <w:next w:val="946"/>
    <w:uiPriority w:val="39"/>
    <w:unhideWhenUsed/>
    <w:pPr>
      <w:ind w:left="1701" w:right="0" w:firstLine="0"/>
      <w:spacing w:after="57"/>
    </w:pPr>
  </w:style>
  <w:style w:type="paragraph" w:styleId="942">
    <w:name w:val="toc 8"/>
    <w:basedOn w:val="946"/>
    <w:next w:val="946"/>
    <w:uiPriority w:val="39"/>
    <w:unhideWhenUsed/>
    <w:pPr>
      <w:ind w:left="1984" w:right="0" w:firstLine="0"/>
      <w:spacing w:after="57"/>
    </w:pPr>
  </w:style>
  <w:style w:type="paragraph" w:styleId="943">
    <w:name w:val="toc 9"/>
    <w:basedOn w:val="946"/>
    <w:next w:val="946"/>
    <w:uiPriority w:val="39"/>
    <w:unhideWhenUsed/>
    <w:pPr>
      <w:ind w:left="2268" w:right="0" w:firstLine="0"/>
      <w:spacing w:after="57"/>
    </w:pPr>
  </w:style>
  <w:style w:type="paragraph" w:styleId="944">
    <w:name w:val="TOC Heading"/>
    <w:uiPriority w:val="39"/>
    <w:unhideWhenUsed/>
  </w:style>
  <w:style w:type="paragraph" w:styleId="945">
    <w:name w:val="table of figures"/>
    <w:basedOn w:val="946"/>
    <w:next w:val="946"/>
    <w:uiPriority w:val="99"/>
    <w:unhideWhenUsed/>
    <w:pPr>
      <w:spacing w:after="0" w:afterAutospacing="0"/>
    </w:pPr>
  </w:style>
  <w:style w:type="paragraph" w:styleId="946" w:default="1">
    <w:name w:val="Normal"/>
    <w:qFormat/>
    <w:pPr>
      <w:ind w:firstLine="709"/>
      <w:jc w:val="both"/>
      <w:spacing w:after="0" w:line="240" w:lineRule="auto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947">
    <w:name w:val="Heading 1"/>
    <w:basedOn w:val="946"/>
    <w:next w:val="946"/>
    <w:link w:val="951"/>
    <w:qFormat/>
    <w:pPr>
      <w:jc w:val="center"/>
      <w:keepNext/>
      <w:outlineLvl w:val="0"/>
    </w:pPr>
    <w:rPr>
      <w:b/>
      <w:sz w:val="52"/>
    </w:rPr>
  </w:style>
  <w:style w:type="character" w:styleId="948" w:default="1">
    <w:name w:val="Default Paragraph Font"/>
    <w:uiPriority w:val="1"/>
    <w:semiHidden/>
    <w:unhideWhenUsed/>
  </w:style>
  <w:style w:type="table" w:styleId="94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50" w:default="1">
    <w:name w:val="No List"/>
    <w:uiPriority w:val="99"/>
    <w:semiHidden/>
    <w:unhideWhenUsed/>
  </w:style>
  <w:style w:type="character" w:styleId="951" w:customStyle="1">
    <w:name w:val="Заголовок 1 Знак"/>
    <w:basedOn w:val="948"/>
    <w:link w:val="947"/>
    <w:rPr>
      <w:rFonts w:ascii="Times New Roman" w:hAnsi="Times New Roman" w:eastAsia="Times New Roman" w:cs="Times New Roman"/>
      <w:b/>
      <w:sz w:val="52"/>
      <w:szCs w:val="20"/>
      <w:lang w:eastAsia="ru-RU"/>
    </w:rPr>
  </w:style>
  <w:style w:type="paragraph" w:styleId="952">
    <w:name w:val="Title"/>
    <w:basedOn w:val="946"/>
    <w:link w:val="953"/>
    <w:qFormat/>
    <w:pPr>
      <w:jc w:val="center"/>
    </w:pPr>
    <w:rPr>
      <w:b/>
      <w:sz w:val="34"/>
    </w:rPr>
  </w:style>
  <w:style w:type="character" w:styleId="953" w:customStyle="1">
    <w:name w:val="Название Знак"/>
    <w:basedOn w:val="948"/>
    <w:link w:val="952"/>
    <w:rPr>
      <w:rFonts w:ascii="Times New Roman" w:hAnsi="Times New Roman" w:eastAsia="Times New Roman" w:cs="Times New Roman"/>
      <w:b/>
      <w:sz w:val="34"/>
      <w:szCs w:val="20"/>
      <w:lang w:eastAsia="ru-RU"/>
    </w:rPr>
  </w:style>
  <w:style w:type="table" w:styleId="954">
    <w:name w:val="Table Grid"/>
    <w:basedOn w:val="94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955">
    <w:name w:val="Balloon Text"/>
    <w:basedOn w:val="946"/>
    <w:link w:val="956"/>
    <w:uiPriority w:val="99"/>
    <w:semiHidden/>
    <w:unhideWhenUsed/>
    <w:rPr>
      <w:rFonts w:ascii="Tahoma" w:hAnsi="Tahoma" w:cs="Tahoma"/>
      <w:sz w:val="16"/>
      <w:szCs w:val="16"/>
    </w:rPr>
  </w:style>
  <w:style w:type="character" w:styleId="956" w:customStyle="1">
    <w:name w:val="Текст выноски Знак"/>
    <w:basedOn w:val="948"/>
    <w:link w:val="955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paragraph" w:styleId="957">
    <w:name w:val="Header"/>
    <w:basedOn w:val="946"/>
    <w:link w:val="958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58" w:customStyle="1">
    <w:name w:val="Верхний колонтитул Знак"/>
    <w:basedOn w:val="948"/>
    <w:link w:val="957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959">
    <w:name w:val="Footer"/>
    <w:basedOn w:val="946"/>
    <w:link w:val="960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60" w:customStyle="1">
    <w:name w:val="Нижний колонтитул Знак"/>
    <w:basedOn w:val="948"/>
    <w:link w:val="959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961">
    <w:name w:val="List Paragraph"/>
    <w:basedOn w:val="946"/>
    <w:uiPriority w:val="34"/>
    <w:qFormat/>
    <w:pPr>
      <w:contextualSpacing/>
      <w:ind w:left="720"/>
    </w:pPr>
  </w:style>
  <w:style w:type="numbering" w:styleId="962" w:customStyle="1">
    <w:name w:val="Стиль нумерованный Слева:  125 см Первая строка:  0 см"/>
    <w:basedOn w:val="950"/>
    <w:pPr>
      <w:numPr>
        <w:ilvl w:val="0"/>
        <w:numId w:val="13"/>
      </w:numPr>
    </w:pPr>
  </w:style>
  <w:style w:type="numbering" w:styleId="963" w:customStyle="1">
    <w:name w:val="Основной стиль списка"/>
    <w:basedOn w:val="950"/>
    <w:pPr>
      <w:numPr>
        <w:ilvl w:val="0"/>
        <w:numId w:val="20"/>
      </w:numPr>
    </w:pPr>
  </w:style>
  <w:style w:type="numbering" w:styleId="964" w:customStyle="1">
    <w:name w:val="Основной список"/>
    <w:basedOn w:val="950"/>
    <w:pPr>
      <w:numPr>
        <w:ilvl w:val="0"/>
        <w:numId w:val="29"/>
      </w:numPr>
    </w:pPr>
  </w:style>
  <w:style w:type="numbering" w:styleId="965" w:customStyle="1">
    <w:name w:val="Стиль многоуровневый Слева:  125 см Первая строка:  0 см"/>
    <w:basedOn w:val="950"/>
    <w:pPr>
      <w:numPr>
        <w:ilvl w:val="0"/>
        <w:numId w:val="33"/>
      </w:numPr>
    </w:pPr>
  </w:style>
  <w:style w:type="paragraph" w:styleId="966" w:customStyle="1">
    <w:name w:val="Default"/>
    <w:pPr>
      <w:spacing w:after="0" w:line="240" w:lineRule="auto"/>
    </w:pPr>
    <w:rPr>
      <w:rFonts w:ascii="Times New Roman" w:hAnsi="Times New Roman" w:eastAsia="Calibri" w:cs="Times New Roman"/>
      <w:color w:val="000000"/>
      <w:sz w:val="24"/>
      <w:szCs w:val="24"/>
    </w:rPr>
  </w:style>
  <w:style w:type="character" w:styleId="967" w:customStyle="1">
    <w:name w:val="Основной текст_"/>
    <w:basedOn w:val="948"/>
    <w:link w:val="968"/>
    <w:rPr>
      <w:rFonts w:ascii="Times New Roman" w:hAnsi="Times New Roman" w:eastAsia="Times New Roman" w:cs="Times New Roman"/>
      <w:shd w:val="clear" w:color="auto" w:fill="ffffff"/>
    </w:rPr>
  </w:style>
  <w:style w:type="paragraph" w:styleId="968" w:customStyle="1">
    <w:name w:val="Основной текст3"/>
    <w:basedOn w:val="946"/>
    <w:link w:val="967"/>
    <w:pPr>
      <w:ind w:firstLine="0"/>
      <w:spacing w:before="300" w:after="60" w:line="0" w:lineRule="atLeast"/>
      <w:shd w:val="clear" w:color="auto" w:fill="ffffff"/>
      <w:widowControl w:val="off"/>
    </w:pPr>
    <w:rPr>
      <w:sz w:val="22"/>
      <w:szCs w:val="22"/>
      <w:lang w:eastAsia="en-US"/>
    </w:rPr>
  </w:style>
  <w:style w:type="character" w:styleId="969" w:customStyle="1">
    <w:name w:val="Основной текст2"/>
    <w:basedOn w:val="967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color w:val="000000"/>
      <w:spacing w:val="0"/>
      <w:position w:val="0"/>
      <w:sz w:val="24"/>
      <w:szCs w:val="24"/>
      <w:u w:val="none"/>
      <w:shd w:val="clear" w:color="auto" w:fill="ffffff"/>
      <w:lang w:val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Relationship Id="rId12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7FA87A-9C31-4495-9FD0-A75397E67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ompany>DG Win&amp;Soft</Company>
  <DocSecurity>0</DocSecurity>
  <HyperlinksChanged>false</HyperlinksChanged>
  <LinksUpToDate>false</LinksUpToDate>
  <ScaleCrop>false</ScaleCrop>
  <SharedDoc>false</SharedDoc>
  <Template>Постановление администрации.dotx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Пользователь</dc:creator>
  <cp:revision>8</cp:revision>
  <dcterms:created xsi:type="dcterms:W3CDTF">2021-10-05T02:18:00Z</dcterms:created>
  <dcterms:modified xsi:type="dcterms:W3CDTF">2024-02-26T09:31:38Z</dcterms:modified>
</cp:coreProperties>
</file>