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7FB5" w:rsidRDefault="00167FB5" w:rsidP="00167FB5">
      <w:pPr>
        <w:shd w:val="clear" w:color="auto" w:fill="FFFFFF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УТВЕРЖДЕН </w:t>
      </w:r>
    </w:p>
    <w:p w:rsidR="00167FB5" w:rsidRDefault="00167FB5" w:rsidP="00167FB5">
      <w:pPr>
        <w:shd w:val="clear" w:color="auto" w:fill="FFFFFF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Советом по инвестициям</w:t>
      </w:r>
    </w:p>
    <w:p w:rsidR="00167FB5" w:rsidRDefault="00167FB5" w:rsidP="00167FB5">
      <w:pPr>
        <w:shd w:val="clear" w:color="auto" w:fill="FFFFFF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п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ротокол от 21.01.2025</w:t>
      </w:r>
    </w:p>
    <w:p w:rsidR="00167FB5" w:rsidRDefault="00167FB5" w:rsidP="00167FB5">
      <w:pPr>
        <w:shd w:val="clear" w:color="auto" w:fill="FFFFFF"/>
        <w:spacing w:after="0" w:line="240" w:lineRule="auto"/>
        <w:ind w:firstLine="284"/>
        <w:jc w:val="right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</w:p>
    <w:p w:rsidR="006A27CA" w:rsidRDefault="00CE7042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>
            <wp:simplePos x="0" y="0"/>
            <wp:positionH relativeFrom="page">
              <wp:posOffset>5400040</wp:posOffset>
            </wp:positionH>
            <wp:positionV relativeFrom="page">
              <wp:posOffset>0</wp:posOffset>
            </wp:positionV>
            <wp:extent cx="289369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Доклад</w:t>
      </w:r>
    </w:p>
    <w:p w:rsidR="006A27CA" w:rsidRDefault="00CE7042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об организации системы внутреннего обеспечения соответствия требованиям антимонопольного законодательства в администрации </w:t>
      </w:r>
      <w:proofErr w:type="spellStart"/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 xml:space="preserve"> района Новосибирской области за 2024 год</w:t>
      </w:r>
    </w:p>
    <w:p w:rsidR="006A27CA" w:rsidRDefault="00CE7042">
      <w:pPr>
        <w:shd w:val="clear" w:color="auto" w:fill="FFFFFF"/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6A27CA" w:rsidRDefault="00CE7042">
      <w:pPr>
        <w:pStyle w:val="af6"/>
        <w:shd w:val="clear" w:color="auto" w:fill="FFFFFF"/>
        <w:spacing w:after="0" w:line="240" w:lineRule="auto"/>
        <w:ind w:left="1260"/>
        <w:jc w:val="center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Общие положения</w:t>
      </w:r>
    </w:p>
    <w:p w:rsidR="006A27CA" w:rsidRDefault="00CE7042">
      <w:pPr>
        <w:shd w:val="clear" w:color="auto" w:fill="FFFFFF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</w:p>
    <w:p w:rsidR="006A27CA" w:rsidRDefault="00CE70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Во исполнение Указа Президента Российской Федерации от 21 декабря 2017 года № 618 «Об основных направлениях государственной политики по развитию конкуренции» </w:t>
      </w:r>
      <w:r>
        <w:rPr>
          <w:rFonts w:ascii="Times New Roman" w:hAnsi="Times New Roman" w:cs="Times New Roman"/>
          <w:sz w:val="28"/>
          <w:szCs w:val="28"/>
        </w:rPr>
        <w:t xml:space="preserve">в целях обеспечения соблюдения антимонопольного законодательства и профилактики его нарушений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основании постановления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от 08.07.2019 № 843-па</w:t>
      </w:r>
      <w:r>
        <w:rPr>
          <w:rFonts w:ascii="Times New Roman" w:hAnsi="Times New Roman" w:cs="Times New Roman"/>
          <w:sz w:val="28"/>
          <w:szCs w:val="28"/>
        </w:rPr>
        <w:t xml:space="preserve"> и  соответствии с методическими рекомендациями по созданию и организации федеральными органами исполнительной власти системы внутреннего обеспечения соответствия требованиям антимонопольного законодательства, утвержденными распоряжением Правительства Российской Федерации от 18.10.2018 № 2258-р,  создана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система внутреннего обеспечения соответствия требованиям антимонопольного законодательства (далее – антимонопольный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6A27CA" w:rsidRDefault="00CE70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Основными задачами</w:t>
      </w:r>
      <w:r>
        <w:rPr>
          <w:rFonts w:ascii="Times New Roman" w:hAnsi="Times New Roman" w:cs="Times New Roman"/>
          <w:sz w:val="28"/>
          <w:szCs w:val="28"/>
        </w:rPr>
        <w:t xml:space="preserve">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6A27CA" w:rsidRDefault="00CE70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выявление рисков нарушения антимонопольного законодательства;</w:t>
      </w:r>
    </w:p>
    <w:p w:rsidR="006A27CA" w:rsidRDefault="00CE70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управление рисками нарушения антимонопольного законодательства;</w:t>
      </w:r>
    </w:p>
    <w:p w:rsidR="006A27CA" w:rsidRDefault="00CE70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контроль за соответствием деятельности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требованиям антимонопольного законодательства;</w:t>
      </w:r>
    </w:p>
    <w:p w:rsidR="006A27CA" w:rsidRDefault="00CE704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оценка эффективности функционирования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A27CA" w:rsidRDefault="006A27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27CA" w:rsidRDefault="00CE70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Положением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функции уполномоченного органа распределены между структурными подразделениями администрации - управлением экономического развития и труда и управлением организационной-контрольной и кадровой работы. </w:t>
      </w:r>
    </w:p>
    <w:p w:rsidR="006A27CA" w:rsidRDefault="00CE70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Функции оценки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возложены на коллегиальный орган – Совет по инвестициям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6A27CA" w:rsidRDefault="006A27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27CA" w:rsidRDefault="00CE704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 В целях обеспечения открытости и доступа к информации на официальном сайте в разделе «Антимонопольный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» </w:t>
      </w:r>
      <w:hyperlink r:id="rId6" w:tgtFrame="https://moshkovo.nso.ru/page/3965">
        <w:r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https://moshkovo.nso.ru/page/3965</w:t>
        </w:r>
      </w:hyperlink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размещена вся информация о системе антимонопольного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комплаенса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. </w:t>
      </w:r>
    </w:p>
    <w:p w:rsidR="006A27CA" w:rsidRDefault="00CE704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lastRenderedPageBreak/>
        <w:t> </w:t>
      </w:r>
    </w:p>
    <w:p w:rsidR="006A27CA" w:rsidRDefault="00CE7042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  <w:t>Анализ выявленных нарушений антимонопольного законодательства в деятельности администрации</w:t>
      </w:r>
    </w:p>
    <w:p w:rsidR="006A27CA" w:rsidRDefault="006A27CA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olor w:val="222222"/>
          <w:sz w:val="28"/>
          <w:szCs w:val="28"/>
          <w:lang w:eastAsia="ru-RU"/>
        </w:rPr>
      </w:pPr>
    </w:p>
    <w:p w:rsidR="006A27CA" w:rsidRDefault="00CE704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 целях выявления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-рисков уполномоченным подразделением 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проведен:</w:t>
      </w:r>
    </w:p>
    <w:p w:rsidR="006A27CA" w:rsidRDefault="00CE704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анализ выявленных нарушений антимонопольного законодательства в деятельности администрации за 2024 год (наличие предостережений, предупреждений, штрафов, жалоб, возбужденных дел); </w:t>
      </w:r>
    </w:p>
    <w:p w:rsidR="006A27CA" w:rsidRDefault="00CE704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анализ нормативных правовых актов администрации, а также правовых, актов, направленных на регулирование отношений, связанных с защитой конкуренции, предупреждением и пресечением монополистической деятельности и недобросовестной</w:t>
      </w:r>
      <w:r>
        <w:rPr>
          <w:color w:val="000000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конкуренции и адресованных неопределенному кругу лиц, которые могут иметь признаки нарушения антимонопольного законодательства; </w:t>
      </w:r>
    </w:p>
    <w:p w:rsidR="006A27CA" w:rsidRDefault="00CE704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3) анализ проектов нормативных правовых актов администрации; </w:t>
      </w:r>
    </w:p>
    <w:p w:rsidR="006A27CA" w:rsidRDefault="00CE704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4) мониторинг и анализ практики применения администрацией антимонопольного законодательства; </w:t>
      </w:r>
    </w:p>
    <w:p w:rsidR="006A27CA" w:rsidRDefault="00CE7042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5) систематическая оценка эффективности разработанных и реализуемых мероприятий по снижению рисков нарушения антимонопольного законодательства.</w:t>
      </w:r>
    </w:p>
    <w:p w:rsidR="006A27CA" w:rsidRDefault="006A27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27CA" w:rsidRDefault="00CE704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 результатам проведенного анализа установлено следующее:</w:t>
      </w:r>
    </w:p>
    <w:p w:rsidR="006A27CA" w:rsidRDefault="006A27C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A27CA" w:rsidRDefault="00CE7042">
      <w:pPr>
        <w:tabs>
          <w:tab w:val="left" w:pos="-142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Проведен анализ информации о наличии (отсутствии) нарушений антимонопольного законодательства в деятельности Администрации (предостережений, предупреждений, штрафов, жалоб, возбужденных дел) за период 2024 года, представленной структурными подразделениями Администрации.</w:t>
      </w:r>
    </w:p>
    <w:p w:rsidR="006A27CA" w:rsidRDefault="00CE7042">
      <w:pPr>
        <w:tabs>
          <w:tab w:val="left" w:pos="-142"/>
        </w:tabs>
        <w:jc w:val="both"/>
      </w:pPr>
      <w:r>
        <w:rPr>
          <w:rStyle w:val="fontstyle01"/>
        </w:rPr>
        <w:tab/>
        <w:t>По результатам анализа представленной информации необходимо отметить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следующее: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- рассмотрения дел по вопросам применения и возможного нарушения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 xml:space="preserve">администрацией </w:t>
      </w:r>
      <w:proofErr w:type="spellStart"/>
      <w:r>
        <w:rPr>
          <w:rStyle w:val="fontstyle01"/>
        </w:rPr>
        <w:t>Мошковского</w:t>
      </w:r>
      <w:proofErr w:type="spellEnd"/>
      <w:r>
        <w:rPr>
          <w:rStyle w:val="fontstyle01"/>
        </w:rPr>
        <w:t xml:space="preserve"> района норм антимонопольного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законодательства в судебных инстанциях не осуществлялось;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- нормативные правовые акты администрации, в которых УФАС России по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Новосибирской области выявлены нарушения антимонопольного законодательства в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 xml:space="preserve">указанный период, в администрации </w:t>
      </w:r>
      <w:proofErr w:type="spellStart"/>
      <w:r>
        <w:rPr>
          <w:rStyle w:val="fontstyle01"/>
        </w:rPr>
        <w:t>Мошковского</w:t>
      </w:r>
      <w:proofErr w:type="spellEnd"/>
      <w:r>
        <w:rPr>
          <w:rStyle w:val="fontstyle01"/>
        </w:rPr>
        <w:t xml:space="preserve"> района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отсутствуют;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  <w:color w:val="auto"/>
        </w:rPr>
        <w:t>-по администрации района в УФАС по Новосибирской области в 2024 году</w:t>
      </w:r>
      <w:r>
        <w:rPr>
          <w:rFonts w:ascii="TimesNewRomanPSMT" w:hAnsi="TimesNewRomanPSMT"/>
          <w:sz w:val="28"/>
          <w:szCs w:val="28"/>
        </w:rPr>
        <w:br/>
      </w:r>
      <w:r>
        <w:rPr>
          <w:rStyle w:val="fontstyle01"/>
          <w:color w:val="auto"/>
        </w:rPr>
        <w:t>жалобы не направлялись.</w:t>
      </w:r>
    </w:p>
    <w:p w:rsidR="006A27CA" w:rsidRDefault="00CE7042">
      <w:pPr>
        <w:spacing w:after="0" w:line="240" w:lineRule="auto"/>
        <w:ind w:firstLine="708"/>
        <w:jc w:val="both"/>
        <w:rPr>
          <w:rFonts w:ascii="TimesNewRomanPSMT" w:hAnsi="TimesNewRomanPSMT"/>
          <w:color w:val="000000"/>
          <w:sz w:val="28"/>
          <w:szCs w:val="28"/>
        </w:rPr>
      </w:pPr>
      <w:r>
        <w:rPr>
          <w:rStyle w:val="fontstyle01"/>
        </w:rPr>
        <w:t>В целях выявления и исключения рисков нарушения антимонопольного законодательства и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 xml:space="preserve">проведения анализа нормативных правовых актов </w:t>
      </w:r>
      <w:r>
        <w:rPr>
          <w:rStyle w:val="fontstyle01"/>
        </w:rPr>
        <w:lastRenderedPageBreak/>
        <w:t>администрации на соответствие их антимонопольному законодательству уполномоченным структурным подразделением – управлением организационно-контрольной и кадровой работы сформирован Перечень действующих нормативных правовых актов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администрации муниципального района (далее –Перечень). Указанный Перечень с приложением текстов таких актов размещен на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официальном сайте администрации района.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</w:p>
    <w:p w:rsidR="006A27CA" w:rsidRDefault="00CE7042">
      <w:pPr>
        <w:tabs>
          <w:tab w:val="left" w:pos="-142"/>
        </w:tabs>
        <w:jc w:val="both"/>
        <w:rPr>
          <w:rFonts w:ascii="TimesNewRomanPSMT" w:hAnsi="TimesNewRomanPSMT"/>
          <w:color w:val="000000"/>
          <w:sz w:val="28"/>
          <w:szCs w:val="28"/>
        </w:rPr>
      </w:pPr>
      <w:r>
        <w:rPr>
          <w:rFonts w:ascii="TimesNewRomanPSMT" w:hAnsi="TimesNewRomanPSMT"/>
          <w:color w:val="000000"/>
          <w:sz w:val="28"/>
          <w:szCs w:val="28"/>
        </w:rPr>
        <w:tab/>
      </w:r>
      <w:r>
        <w:rPr>
          <w:rStyle w:val="fontstyle01"/>
        </w:rPr>
        <w:t xml:space="preserve">Проводимая прокуратурой </w:t>
      </w:r>
      <w:proofErr w:type="spellStart"/>
      <w:r>
        <w:rPr>
          <w:rStyle w:val="fontstyle01"/>
        </w:rPr>
        <w:t>Мошковского</w:t>
      </w:r>
      <w:proofErr w:type="spellEnd"/>
      <w:r>
        <w:rPr>
          <w:rStyle w:val="fontstyle01"/>
        </w:rPr>
        <w:t xml:space="preserve"> района экспертиза нормативных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правовых актов и их проектов, а также их согласование с ответственными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лицами администрации района направлены на выявление и исключение случаев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 xml:space="preserve">нарушения положений актов законодательства Российской Федерации, выявление в них </w:t>
      </w:r>
      <w:proofErr w:type="spellStart"/>
      <w:r>
        <w:rPr>
          <w:rStyle w:val="fontstyle01"/>
        </w:rPr>
        <w:t>коррупциогенных</w:t>
      </w:r>
      <w:proofErr w:type="spellEnd"/>
      <w:r>
        <w:rPr>
          <w:rStyle w:val="fontstyle01"/>
        </w:rPr>
        <w:t xml:space="preserve"> факторов и их последующее устранение,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использование терминов и определений, не предусмотренных федеральным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законодательством или противоречащих ему, а также исключение случаев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произвольного толкования положений нормативного правового акта,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обеспечение наличия четких и однозначных формулировок, нарушений не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установила.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</w:p>
    <w:p w:rsidR="006A27CA" w:rsidRDefault="00CE7042">
      <w:pPr>
        <w:tabs>
          <w:tab w:val="left" w:pos="-142"/>
        </w:tabs>
        <w:jc w:val="both"/>
        <w:rPr>
          <w:rFonts w:ascii="TimesNewRomanPSMT" w:hAnsi="TimesNewRomanPSMT"/>
          <w:color w:val="000000"/>
          <w:sz w:val="28"/>
          <w:szCs w:val="28"/>
        </w:rPr>
      </w:pPr>
      <w:r>
        <w:rPr>
          <w:rFonts w:ascii="TimesNewRomanPSMT" w:hAnsi="TimesNewRomanPSMT"/>
          <w:color w:val="000000"/>
          <w:sz w:val="28"/>
          <w:szCs w:val="28"/>
        </w:rPr>
        <w:tab/>
      </w:r>
      <w:r>
        <w:rPr>
          <w:rStyle w:val="fontstyle01"/>
        </w:rPr>
        <w:t>При правовой экспертизе осуществляется правовая оценка формы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правового акта, его целей и задач, предмета правового регулирования,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компетенции органа, принявшего правовой акт, содержащихся в нем норм,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порядка принятия, обнародования (опубликования) на предмет соответствия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требованиям Конституции РФ и федеральных законов, а также оценка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соответствия правового акта требованиям юридической техники.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Нормативные правовые акты администрации района, в которых УФАС по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Новосибирской области выявлены нарушения антимонопольного законодательства в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указанный период, в администрации района отсутствуют.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Рассмотрение дел по вопросам применения и возможного нарушения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администрацией антимонопольного законодательства в судебных инстанциях не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осуществлялось.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Кроме того, по итогам проведенного анализа нормативных правовых актов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администрации района сделан вывод об их соответствии антимонопольному</w:t>
      </w:r>
      <w:r>
        <w:rPr>
          <w:rFonts w:ascii="TimesNewRomanPSMT" w:hAnsi="TimesNewRomanPSMT"/>
          <w:color w:val="000000"/>
          <w:sz w:val="28"/>
          <w:szCs w:val="28"/>
        </w:rPr>
        <w:t xml:space="preserve"> </w:t>
      </w:r>
      <w:r>
        <w:rPr>
          <w:rStyle w:val="fontstyle01"/>
        </w:rPr>
        <w:t>законодательству.</w:t>
      </w:r>
    </w:p>
    <w:p w:rsidR="006A27CA" w:rsidRDefault="00CE7042">
      <w:pPr>
        <w:spacing w:after="0" w:line="240" w:lineRule="auto"/>
        <w:ind w:firstLine="567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течение года проводилось консультирование муниципальных служащих по </w:t>
      </w:r>
      <w:r>
        <w:rPr>
          <w:rFonts w:ascii="TimesNewRomanPSMT" w:hAnsi="TimesNewRomanPSMT" w:cs="TimesNewRomanPSMT"/>
          <w:sz w:val="28"/>
          <w:szCs w:val="28"/>
        </w:rPr>
        <w:t>вопросам, связанным с соблюдением антимонопольного законодательства, проведения конкурентных процедур и др.</w:t>
      </w:r>
    </w:p>
    <w:p w:rsidR="006A27CA" w:rsidRDefault="00CE7042">
      <w:pPr>
        <w:spacing w:after="0" w:line="240" w:lineRule="auto"/>
        <w:ind w:firstLine="567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С лицами, претендующими на замещение должностей муниципальной службы, проводились процедуры ознакомления с нормативными актами, положениями, инструкциями, правилами по соблюдению системы внутреннего обеспечения соответствия требованиям антимонопольного законодательства,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антикорупционных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в администрации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Мошковского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района.</w:t>
      </w:r>
    </w:p>
    <w:p w:rsidR="006A27CA" w:rsidRDefault="006A27CA">
      <w:pPr>
        <w:spacing w:after="0" w:line="240" w:lineRule="auto"/>
        <w:ind w:firstLine="567"/>
        <w:jc w:val="both"/>
        <w:rPr>
          <w:rFonts w:ascii="TimesNewRomanPSMT" w:hAnsi="TimesNewRomanPSMT" w:cs="TimesNewRomanPSMT"/>
          <w:sz w:val="28"/>
          <w:szCs w:val="28"/>
        </w:rPr>
      </w:pPr>
    </w:p>
    <w:p w:rsidR="006A27CA" w:rsidRDefault="00CE7042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7"/>
          <w:szCs w:val="27"/>
        </w:rPr>
        <w:t xml:space="preserve">         У</w:t>
      </w:r>
      <w:r>
        <w:rPr>
          <w:rFonts w:ascii="TimesNewRomanPSMT" w:hAnsi="TimesNewRomanPSMT" w:cs="TimesNewRomanPSMT"/>
          <w:sz w:val="28"/>
          <w:szCs w:val="28"/>
        </w:rPr>
        <w:t>правлением экономического развития и труда на основании представленных сведений структурными подразделениями администрации разработаны:</w:t>
      </w:r>
    </w:p>
    <w:p w:rsidR="006A27CA" w:rsidRDefault="00CE7042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lastRenderedPageBreak/>
        <w:t>- карта рисков нарушения антимонопольного законодательства;</w:t>
      </w:r>
    </w:p>
    <w:p w:rsidR="006A27CA" w:rsidRDefault="00CE7042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- план мероприятий («дорожная карта») по снижению нарушений антимонопольного законодательства.</w:t>
      </w:r>
    </w:p>
    <w:p w:rsidR="006A27CA" w:rsidRDefault="00CE7042">
      <w:pPr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Ежегодно готовится доклад об </w:t>
      </w:r>
      <w:r>
        <w:rPr>
          <w:rFonts w:ascii="Times New Roman" w:eastAsia="Times New Roman" w:hAnsi="Times New Roman" w:cs="Times New Roman"/>
          <w:bCs/>
          <w:color w:val="222222"/>
          <w:sz w:val="28"/>
          <w:szCs w:val="28"/>
          <w:lang w:eastAsia="ru-RU"/>
        </w:rPr>
        <w:t>осуществлении системы внутреннего обеспечения соответствия требованиям антимонопольного законодательства в администрации</w:t>
      </w:r>
      <w:r>
        <w:rPr>
          <w:rFonts w:ascii="TimesNewRomanPSMT" w:hAnsi="TimesNewRomanPSMT" w:cs="TimesNewRomanPSMT"/>
          <w:sz w:val="28"/>
          <w:szCs w:val="28"/>
        </w:rPr>
        <w:t xml:space="preserve"> </w:t>
      </w:r>
      <w:proofErr w:type="spellStart"/>
      <w:r>
        <w:rPr>
          <w:rFonts w:ascii="TimesNewRomanPSMT" w:hAnsi="TimesNewRomanPSMT" w:cs="TimesNewRomanPSMT"/>
          <w:sz w:val="28"/>
          <w:szCs w:val="28"/>
        </w:rPr>
        <w:t>Мошковского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района.</w:t>
      </w:r>
    </w:p>
    <w:p w:rsidR="006A27CA" w:rsidRDefault="00CE704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 xml:space="preserve">Вопрос об </w:t>
      </w:r>
      <w:r>
        <w:rPr>
          <w:rFonts w:ascii="Times New Roman" w:hAnsi="Times New Roman" w:cs="Times New Roman"/>
          <w:sz w:val="28"/>
          <w:szCs w:val="28"/>
        </w:rPr>
        <w:t xml:space="preserve">оценке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рассматривается на заседании Совета по инвестициям.</w:t>
      </w:r>
    </w:p>
    <w:p w:rsidR="006A27CA" w:rsidRDefault="006A27CA">
      <w:pPr>
        <w:shd w:val="clear" w:color="auto" w:fill="FFFFFF"/>
        <w:spacing w:after="0" w:line="240" w:lineRule="auto"/>
        <w:jc w:val="both"/>
        <w:rPr>
          <w:rFonts w:ascii="TimesNewRomanPSMT" w:hAnsi="TimesNewRomanPSMT" w:cs="TimesNewRomanPSMT"/>
          <w:sz w:val="28"/>
          <w:szCs w:val="28"/>
        </w:rPr>
      </w:pPr>
    </w:p>
    <w:p w:rsidR="006A27CA" w:rsidRDefault="00CE704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Жалоб на решения, действия администрации и (или) ее должностных лиц, ведущие к ограничению конкуренции, поданных в органы прокуратуры, в адрес уполномоченного по защите прав предпринимателей в Новосибирской области нет.</w:t>
      </w:r>
    </w:p>
    <w:p w:rsidR="006A27CA" w:rsidRDefault="006A27C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A27CA" w:rsidRDefault="00CE704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 xml:space="preserve">Расчет ключевых показателей эффективности антимонопольного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6A27CA" w:rsidRDefault="006A27C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27CA" w:rsidRDefault="00CE7042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Коэффициент снижения количества нарушений антимонопольного законодательства со стороны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(за последние три года):</w:t>
      </w:r>
    </w:p>
    <w:p w:rsidR="006A27CA" w:rsidRDefault="00CE7042">
      <w:pPr>
        <w:tabs>
          <w:tab w:val="left" w:pos="709"/>
        </w:tabs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КСН = </w:t>
      </w:r>
      <w:proofErr w:type="spellStart"/>
      <w:r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/ Кноп = 1, где</w:t>
      </w:r>
    </w:p>
    <w:p w:rsidR="006A27CA" w:rsidRDefault="00CE7042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КСН – коэффициент снижения количества нарушений антимонопольного законодательства со стороны Администрации по сравнению с 2022 годом;</w:t>
      </w:r>
    </w:p>
    <w:p w:rsidR="006A27CA" w:rsidRDefault="00CE7042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КНпп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2022 году.</w:t>
      </w:r>
    </w:p>
    <w:p w:rsidR="006A27CA" w:rsidRDefault="00CE7042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КНоп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количество нарушений антимонопольного законодательства со стороны Администрации в 2024 году.</w:t>
      </w:r>
    </w:p>
    <w:p w:rsidR="006A27CA" w:rsidRDefault="00CE704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 выявлено 1нарушение антимонопольного законодательства со стороны Администрации.</w:t>
      </w:r>
    </w:p>
    <w:p w:rsidR="006A27CA" w:rsidRDefault="00CE704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2023 году выявлено 1 нарушение антимонопольного законодательства со стороны Администрации. </w:t>
      </w:r>
    </w:p>
    <w:p w:rsidR="006A27CA" w:rsidRDefault="00CE704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2024 году нарушений антимонопольного законодательства со стороны Администрации не выявлено (0). </w:t>
      </w:r>
    </w:p>
    <w:p w:rsidR="006A27CA" w:rsidRDefault="00CE7042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КСН = 01/0,1= 1 (</w:t>
      </w:r>
      <w:r>
        <w:rPr>
          <w:rFonts w:ascii="Times New Roman" w:hAnsi="Times New Roman" w:cs="Times New Roman"/>
          <w:b/>
          <w:sz w:val="28"/>
          <w:szCs w:val="28"/>
          <w:highlight w:val="white"/>
        </w:rPr>
        <w:t>Показатель достигнут</w:t>
      </w:r>
      <w:r>
        <w:rPr>
          <w:rFonts w:ascii="Times New Roman" w:hAnsi="Times New Roman" w:cs="Times New Roman"/>
          <w:b/>
          <w:sz w:val="28"/>
          <w:szCs w:val="28"/>
        </w:rPr>
        <w:t>).</w:t>
      </w:r>
    </w:p>
    <w:p w:rsidR="006A27CA" w:rsidRDefault="00CE7042">
      <w:pPr>
        <w:pStyle w:val="Default"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расчете коэффициента снижения количества нарушений антимонопольного законодательства со стороны администрации под нарушением антимонопольного законодательства со стороны администрации понимаются: </w:t>
      </w:r>
    </w:p>
    <w:p w:rsidR="006A27CA" w:rsidRDefault="00CE7042">
      <w:pPr>
        <w:pStyle w:val="Default"/>
        <w:spacing w:after="160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возбужденные антимонопольным органом в отношении администрации антимонопольные дела; 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выданные антимонопольным органом администрации предупреждения о прекращении действий (бездействия), об отмене или изменении актов, которые содержат признаки нарушения антимонопольного законодательства, либо об устранении причин и условий, способствовавших </w:t>
      </w:r>
      <w:r>
        <w:rPr>
          <w:sz w:val="28"/>
          <w:szCs w:val="28"/>
        </w:rPr>
        <w:lastRenderedPageBreak/>
        <w:t xml:space="preserve">возникновению такого нарушения, и о принятии мер по устранению последствий такого нарушения; 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в) направленные антимонопольным органом администрации предостережения о недопустимости совершения действий, которые могут привести к нарушению антимонопольного законодательства. </w:t>
      </w:r>
    </w:p>
    <w:p w:rsidR="006A27CA" w:rsidRDefault="006A27CA">
      <w:pPr>
        <w:pStyle w:val="Default"/>
        <w:ind w:firstLine="708"/>
        <w:jc w:val="both"/>
        <w:rPr>
          <w:sz w:val="28"/>
          <w:szCs w:val="28"/>
        </w:rPr>
      </w:pP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Доля нормативных правовых актов администрации </w:t>
      </w:r>
      <w:proofErr w:type="spellStart"/>
      <w:r>
        <w:rPr>
          <w:i/>
          <w:sz w:val="28"/>
          <w:szCs w:val="28"/>
        </w:rPr>
        <w:t>Мошковского</w:t>
      </w:r>
      <w:proofErr w:type="spellEnd"/>
      <w:r>
        <w:rPr>
          <w:i/>
          <w:sz w:val="28"/>
          <w:szCs w:val="28"/>
        </w:rPr>
        <w:t xml:space="preserve"> района, в отношении которых проведен анализ на предмет их соответствия антимонопольному законодательству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= </w:t>
      </w:r>
      <w:proofErr w:type="spellStart"/>
      <w:r>
        <w:rPr>
          <w:sz w:val="28"/>
          <w:szCs w:val="28"/>
          <w:u w:val="single"/>
        </w:rPr>
        <w:t>КПнпа</w:t>
      </w:r>
      <w:proofErr w:type="spell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КОнпа</w:t>
      </w:r>
      <w:proofErr w:type="spellEnd"/>
      <w:r>
        <w:rPr>
          <w:sz w:val="28"/>
          <w:szCs w:val="28"/>
        </w:rPr>
        <w:t>= 1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где: </w:t>
      </w: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– доля нормативных правовых актов администрации, в отношении которых проведен анализ на предмет их соответствия антимонопольному законодательству;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КПнпа</w:t>
      </w:r>
      <w:proofErr w:type="spellEnd"/>
      <w:r>
        <w:rPr>
          <w:sz w:val="28"/>
          <w:szCs w:val="28"/>
        </w:rPr>
        <w:t xml:space="preserve"> – количество нормативных правовых актов администрации, в отношении которых проведен анализ на предмет их соответствия антимонопольному законодательству;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КОнпа</w:t>
      </w:r>
      <w:proofErr w:type="spellEnd"/>
      <w:r>
        <w:rPr>
          <w:sz w:val="28"/>
          <w:szCs w:val="28"/>
        </w:rPr>
        <w:t xml:space="preserve"> - общее количество нормативных правовых актов администрации.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2024 году по всем принятым НПА проведен анализ на предмет их соответствия антимонопольному законодательству.</w:t>
      </w:r>
    </w:p>
    <w:p w:rsidR="006A27CA" w:rsidRDefault="00CE7042">
      <w:pPr>
        <w:pStyle w:val="Default"/>
        <w:ind w:firstLine="708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Днпа</w:t>
      </w:r>
      <w:proofErr w:type="spellEnd"/>
      <w:r>
        <w:rPr>
          <w:b/>
          <w:sz w:val="28"/>
          <w:szCs w:val="28"/>
        </w:rPr>
        <w:t>= 01/01= 1(показатель достигнут).</w:t>
      </w:r>
    </w:p>
    <w:p w:rsidR="006A27CA" w:rsidRDefault="006A27CA">
      <w:pPr>
        <w:pStyle w:val="Default"/>
        <w:ind w:firstLine="708"/>
        <w:jc w:val="both"/>
        <w:rPr>
          <w:b/>
          <w:sz w:val="28"/>
          <w:szCs w:val="28"/>
        </w:rPr>
      </w:pPr>
    </w:p>
    <w:p w:rsidR="006A27CA" w:rsidRDefault="00CE7042">
      <w:pPr>
        <w:pStyle w:val="Default"/>
        <w:spacing w:after="160"/>
        <w:ind w:firstLine="709"/>
        <w:contextualSpacing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Доля нормативных правовых актов администрации, в которых выявлены риски нарушения антимонопольного законодательства, рассчитывается по формуле: </w:t>
      </w:r>
    </w:p>
    <w:p w:rsidR="006A27CA" w:rsidRDefault="00CE7042">
      <w:pPr>
        <w:pStyle w:val="Default"/>
        <w:ind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= </w:t>
      </w:r>
      <w:proofErr w:type="spellStart"/>
      <w:r>
        <w:rPr>
          <w:sz w:val="28"/>
          <w:szCs w:val="28"/>
          <w:u w:val="single"/>
        </w:rPr>
        <w:t>Кнпаоп</w:t>
      </w:r>
      <w:proofErr w:type="spellEnd"/>
      <w:r>
        <w:rPr>
          <w:sz w:val="28"/>
          <w:szCs w:val="28"/>
          <w:u w:val="single"/>
        </w:rPr>
        <w:t>/Кноп</w:t>
      </w:r>
      <w:r>
        <w:rPr>
          <w:sz w:val="28"/>
          <w:szCs w:val="28"/>
        </w:rPr>
        <w:t xml:space="preserve"> = 1, где</w:t>
      </w:r>
    </w:p>
    <w:p w:rsidR="006A27CA" w:rsidRDefault="00CE7042">
      <w:pPr>
        <w:pStyle w:val="Default"/>
        <w:ind w:firstLine="708"/>
        <w:rPr>
          <w:sz w:val="28"/>
          <w:szCs w:val="28"/>
        </w:rPr>
      </w:pPr>
      <w:proofErr w:type="spellStart"/>
      <w:r>
        <w:rPr>
          <w:sz w:val="28"/>
          <w:szCs w:val="28"/>
        </w:rPr>
        <w:t>Днпа</w:t>
      </w:r>
      <w:proofErr w:type="spellEnd"/>
      <w:r>
        <w:rPr>
          <w:sz w:val="28"/>
          <w:szCs w:val="28"/>
        </w:rPr>
        <w:t xml:space="preserve"> - доля нормативных правовых актов администрации, в которых выявлены риски нарушения антимонопольного законодательства;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Кнпаоп</w:t>
      </w:r>
      <w:proofErr w:type="spellEnd"/>
      <w:r>
        <w:rPr>
          <w:sz w:val="28"/>
          <w:szCs w:val="28"/>
        </w:rPr>
        <w:t xml:space="preserve"> - количество нормативных правовых актов администрации, в которых данным органом выявлены риски нарушения антимонопольного законодательства (в отчетном периоде); 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Кноп - количество нормативных правовых актов администрации, в которых антимонопольным органом выявлены нарушения антимонопольного законодательства (в отчетном периоде). 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2024 году нормативных правовых актов администрации, в которых выявлены риски нарушения антимонопольного законодательства и нормативных правовых актов администрации, в которых выявлены риски нарушения антимонопольного законодательства нет.</w:t>
      </w:r>
    </w:p>
    <w:p w:rsidR="006A27CA" w:rsidRDefault="00CE7042">
      <w:pPr>
        <w:pStyle w:val="Default"/>
        <w:ind w:firstLine="708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Днпа</w:t>
      </w:r>
      <w:proofErr w:type="spellEnd"/>
      <w:r>
        <w:rPr>
          <w:b/>
          <w:sz w:val="28"/>
          <w:szCs w:val="28"/>
        </w:rPr>
        <w:t xml:space="preserve"> = 0,1/0,1= 1 (показатель достигнут)</w:t>
      </w:r>
    </w:p>
    <w:p w:rsidR="006A27CA" w:rsidRDefault="006A27CA">
      <w:pPr>
        <w:pStyle w:val="Default"/>
        <w:ind w:firstLine="708"/>
        <w:jc w:val="both"/>
        <w:rPr>
          <w:b/>
          <w:sz w:val="28"/>
          <w:szCs w:val="28"/>
        </w:rPr>
      </w:pPr>
    </w:p>
    <w:p w:rsidR="006A27CA" w:rsidRDefault="006A27CA">
      <w:pPr>
        <w:pStyle w:val="Default"/>
        <w:ind w:firstLine="708"/>
        <w:jc w:val="both"/>
        <w:rPr>
          <w:sz w:val="28"/>
          <w:szCs w:val="28"/>
        </w:rPr>
      </w:pPr>
    </w:p>
    <w:p w:rsidR="006A27CA" w:rsidRDefault="00CE7042">
      <w:pPr>
        <w:pStyle w:val="Default"/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Выводы</w:t>
      </w:r>
    </w:p>
    <w:p w:rsidR="006A27CA" w:rsidRDefault="006A27CA">
      <w:pPr>
        <w:pStyle w:val="Default"/>
        <w:ind w:firstLine="708"/>
        <w:jc w:val="center"/>
        <w:rPr>
          <w:b/>
          <w:sz w:val="28"/>
          <w:szCs w:val="28"/>
        </w:rPr>
      </w:pPr>
    </w:p>
    <w:p w:rsidR="006A27CA" w:rsidRDefault="00CE704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В 2024 году из трех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Мошковского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все</w:t>
      </w:r>
      <w:r>
        <w:rPr>
          <w:rFonts w:ascii="Times New Roman" w:hAnsi="Times New Roman" w:cs="Times New Roman"/>
          <w:sz w:val="28"/>
          <w:szCs w:val="28"/>
          <w:highlight w:val="white"/>
          <w:shd w:val="clear" w:color="auto" w:fill="FFFFFF"/>
        </w:rPr>
        <w:t xml:space="preserve"> показатели выполнены. </w:t>
      </w:r>
    </w:p>
    <w:p w:rsidR="006A27CA" w:rsidRDefault="00CE704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</w:rPr>
        <w:t>Соблюдение антимонопольного законодательства со стороны Администрации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в 2024 году улучшилось (в 2022-2023 году было зафиксировано по 1 нарушению).</w:t>
      </w:r>
    </w:p>
    <w:p w:rsidR="006A27CA" w:rsidRDefault="00CE704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highlight w:val="white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Значение выполнения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комплаенса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 2024 год составило 100</w:t>
      </w:r>
      <w:r>
        <w:rPr>
          <w:rFonts w:ascii="Times New Roman" w:hAnsi="Times New Roman" w:cs="Times New Roman"/>
          <w:color w:val="000000"/>
          <w:sz w:val="28"/>
          <w:szCs w:val="28"/>
          <w:highlight w:val="white"/>
          <w:shd w:val="clear" w:color="auto" w:fill="FFFFFF"/>
        </w:rPr>
        <w:t>%.</w:t>
      </w:r>
    </w:p>
    <w:p w:rsidR="006A27CA" w:rsidRDefault="00CE7042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Новых рисков, нарушения антимонопольного законодательства, которые необходимо внести в карту </w:t>
      </w:r>
      <w:proofErr w:type="spellStart"/>
      <w:r>
        <w:rPr>
          <w:sz w:val="28"/>
          <w:szCs w:val="28"/>
        </w:rPr>
        <w:t>комплаенс</w:t>
      </w:r>
      <w:proofErr w:type="spellEnd"/>
      <w:r>
        <w:rPr>
          <w:sz w:val="28"/>
          <w:szCs w:val="28"/>
        </w:rPr>
        <w:t xml:space="preserve">-рисков, не выявлено. </w:t>
      </w:r>
    </w:p>
    <w:p w:rsidR="006A27CA" w:rsidRDefault="00CE704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целях снижения вероятности наступления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-рисков разработан план мероприятий по снижению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-рисков администрации на 2025 год, содержащий конкретные мероприятия, необходимые для устранения выявленных рисков, в разрезе каждого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комплаенс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-риска. </w:t>
      </w:r>
    </w:p>
    <w:p w:rsidR="006A27CA" w:rsidRDefault="00CE7042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Style w:val="fontstyle01"/>
        </w:rPr>
        <w:t xml:space="preserve">В 2025 году в администрации </w:t>
      </w:r>
      <w:proofErr w:type="spellStart"/>
      <w:r>
        <w:rPr>
          <w:rStyle w:val="fontstyle01"/>
        </w:rPr>
        <w:t>Мошковского</w:t>
      </w:r>
      <w:proofErr w:type="spellEnd"/>
      <w:r>
        <w:rPr>
          <w:rStyle w:val="fontstyle01"/>
        </w:rPr>
        <w:t xml:space="preserve"> района будет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>продолжена работа по обеспечению эффективности функционирования</w:t>
      </w:r>
      <w:r>
        <w:rPr>
          <w:rFonts w:ascii="TimesNewRomanPSMT" w:hAnsi="TimesNewRomanPSMT"/>
          <w:color w:val="000000"/>
          <w:sz w:val="28"/>
          <w:szCs w:val="28"/>
        </w:rPr>
        <w:br/>
      </w:r>
      <w:r>
        <w:rPr>
          <w:rStyle w:val="fontstyle01"/>
        </w:rPr>
        <w:t xml:space="preserve">антимонопольного </w:t>
      </w:r>
      <w:proofErr w:type="spellStart"/>
      <w:r>
        <w:rPr>
          <w:rStyle w:val="fontstyle01"/>
        </w:rPr>
        <w:t>комплаенса</w:t>
      </w:r>
      <w:proofErr w:type="spellEnd"/>
      <w:r>
        <w:rPr>
          <w:rStyle w:val="fontstyle01"/>
        </w:rPr>
        <w:t>.</w:t>
      </w:r>
    </w:p>
    <w:p w:rsidR="006A27CA" w:rsidRDefault="006A27CA">
      <w:pPr>
        <w:pStyle w:val="Default"/>
        <w:jc w:val="both"/>
        <w:rPr>
          <w:sz w:val="28"/>
          <w:szCs w:val="28"/>
        </w:rPr>
      </w:pPr>
    </w:p>
    <w:p w:rsidR="006A27CA" w:rsidRDefault="006A27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6A27CA" w:rsidRDefault="00CE704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Мошковского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района</w:t>
      </w:r>
    </w:p>
    <w:p w:rsidR="006A27CA" w:rsidRDefault="00CE704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Новосибирской области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С.Н.Субботин</w:t>
      </w:r>
      <w:proofErr w:type="spellEnd"/>
    </w:p>
    <w:p w:rsidR="006A27CA" w:rsidRDefault="006A27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6A27CA" w:rsidRDefault="006A27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6A27CA" w:rsidRDefault="006A27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6A27CA" w:rsidRDefault="006A27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6A27CA" w:rsidRDefault="006A27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6A27CA" w:rsidRDefault="00CE704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Бабич Татьяна Павловна</w:t>
      </w:r>
    </w:p>
    <w:p w:rsidR="006A27CA" w:rsidRDefault="00CE704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  <w:t>8 383 48 21-976</w:t>
      </w:r>
    </w:p>
    <w:p w:rsidR="006A27CA" w:rsidRDefault="00167FB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  <w:r>
        <w:rPr>
          <w:noProof/>
          <w:lang w:eastAsia="ru-RU"/>
        </w:rPr>
        <w:drawing>
          <wp:anchor distT="0" distB="0" distL="0" distR="0" simplePos="0" relativeHeight="2" behindDoc="0" locked="0" layoutInCell="0" allowOverlap="1" wp14:anchorId="52DA1849" wp14:editId="13E277A6">
            <wp:simplePos x="0" y="0"/>
            <wp:positionH relativeFrom="page">
              <wp:posOffset>2091690</wp:posOffset>
            </wp:positionH>
            <wp:positionV relativeFrom="page">
              <wp:posOffset>6672580</wp:posOffset>
            </wp:positionV>
            <wp:extent cx="3246755" cy="1367790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A27CA" w:rsidRDefault="006A27C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0"/>
          <w:szCs w:val="20"/>
          <w:lang w:eastAsia="ru-RU"/>
        </w:rPr>
      </w:pPr>
    </w:p>
    <w:sectPr w:rsidR="006A27CA">
      <w:pgSz w:w="11906" w:h="16838"/>
      <w:pgMar w:top="1134" w:right="850" w:bottom="1134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7CA"/>
    <w:rsid w:val="00167FB5"/>
    <w:rsid w:val="006A27CA"/>
    <w:rsid w:val="00CE7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994CA"/>
  <w15:docId w15:val="{AC2D0B32-027E-4FF5-8E5E-BA3EB4CF4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uiPriority w:val="9"/>
    <w:qFormat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EndnoteCharacters">
    <w:name w:val="Endnote Characters"/>
    <w:uiPriority w:val="99"/>
    <w:semiHidden/>
    <w:unhideWhenUsed/>
    <w:qFormat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20">
    <w:name w:val="Заголовок 2 Знак"/>
    <w:basedOn w:val="a0"/>
    <w:uiPriority w:val="9"/>
    <w:qFormat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Pr>
      <w:b/>
      <w:bCs/>
    </w:rPr>
  </w:style>
  <w:style w:type="character" w:styleId="a4">
    <w:name w:val="Hyperlink"/>
    <w:basedOn w:val="a0"/>
    <w:uiPriority w:val="99"/>
    <w:unhideWhenUsed/>
    <w:rPr>
      <w:color w:val="0000FF"/>
      <w:u w:val="single"/>
    </w:rPr>
  </w:style>
  <w:style w:type="character" w:customStyle="1" w:styleId="80">
    <w:name w:val="8"/>
    <w:basedOn w:val="a0"/>
    <w:qFormat/>
  </w:style>
  <w:style w:type="character" w:customStyle="1" w:styleId="89pt">
    <w:name w:val="89pt"/>
    <w:basedOn w:val="a0"/>
    <w:qFormat/>
  </w:style>
  <w:style w:type="character" w:customStyle="1" w:styleId="a5">
    <w:name w:val="Текст сноски Знак"/>
    <w:basedOn w:val="a0"/>
    <w:uiPriority w:val="99"/>
    <w:semiHidden/>
    <w:qFormat/>
    <w:rPr>
      <w:sz w:val="20"/>
      <w:szCs w:val="20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Pr>
      <w:vertAlign w:val="superscript"/>
    </w:rPr>
  </w:style>
  <w:style w:type="character" w:customStyle="1" w:styleId="FootnoteAnchor">
    <w:name w:val="Footnote Anchor"/>
    <w:rPr>
      <w:vertAlign w:val="superscript"/>
    </w:rPr>
  </w:style>
  <w:style w:type="character" w:customStyle="1" w:styleId="a6">
    <w:name w:val="Текст выноски Знак"/>
    <w:basedOn w:val="a0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21">
    <w:name w:val="Основной текст2"/>
    <w:basedOn w:val="a0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sz w:val="24"/>
      <w:szCs w:val="24"/>
      <w:u w:val="none"/>
      <w:shd w:val="clear" w:color="auto" w:fill="FFFFFF"/>
      <w:lang w:val="ru-RU"/>
    </w:rPr>
  </w:style>
  <w:style w:type="character" w:customStyle="1" w:styleId="fontstyle01">
    <w:name w:val="fontstyle01"/>
    <w:basedOn w:val="a0"/>
    <w:qFormat/>
    <w:rsid w:val="006759F8"/>
    <w:rPr>
      <w:rFonts w:ascii="TimesNewRomanPSMT" w:hAnsi="TimesNewRomanPSMT"/>
      <w:b w:val="0"/>
      <w:bCs w:val="0"/>
      <w:i w:val="0"/>
      <w:iCs w:val="0"/>
      <w:color w:val="000000"/>
      <w:sz w:val="28"/>
      <w:szCs w:val="28"/>
    </w:rPr>
  </w:style>
  <w:style w:type="paragraph" w:customStyle="1" w:styleId="Heading">
    <w:name w:val="Heading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a">
    <w:name w:val="Title"/>
    <w:basedOn w:val="a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b">
    <w:name w:val="Subtitle"/>
    <w:basedOn w:val="a"/>
    <w:uiPriority w:val="11"/>
    <w:qFormat/>
    <w:pPr>
      <w:spacing w:before="200" w:after="200"/>
    </w:pPr>
    <w:rPr>
      <w:sz w:val="24"/>
      <w:szCs w:val="24"/>
    </w:rPr>
  </w:style>
  <w:style w:type="paragraph" w:styleId="22">
    <w:name w:val="Quote"/>
    <w:basedOn w:val="a"/>
    <w:uiPriority w:val="29"/>
    <w:qFormat/>
    <w:pPr>
      <w:ind w:left="720" w:right="720"/>
    </w:pPr>
    <w:rPr>
      <w:i/>
    </w:rPr>
  </w:style>
  <w:style w:type="paragraph" w:styleId="ac">
    <w:name w:val="Intense Quote"/>
    <w:basedOn w:val="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HeaderandFooter">
    <w:name w:val="Header and Footer"/>
    <w:basedOn w:val="a"/>
    <w:qFormat/>
  </w:style>
  <w:style w:type="paragraph" w:styleId="ad">
    <w:name w:val="header"/>
    <w:basedOn w:val="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ae">
    <w:name w:val="footer"/>
    <w:basedOn w:val="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paragraph" w:styleId="af">
    <w:name w:val="endnote text"/>
    <w:basedOn w:val="a"/>
    <w:uiPriority w:val="99"/>
    <w:semiHidden/>
    <w:unhideWhenUsed/>
    <w:pPr>
      <w:spacing w:after="0" w:line="240" w:lineRule="auto"/>
    </w:pPr>
    <w:rPr>
      <w:sz w:val="20"/>
    </w:rPr>
  </w:style>
  <w:style w:type="paragraph" w:styleId="10">
    <w:name w:val="toc 1"/>
    <w:basedOn w:val="a"/>
    <w:uiPriority w:val="39"/>
    <w:unhideWhenUsed/>
    <w:pPr>
      <w:spacing w:after="57"/>
    </w:pPr>
  </w:style>
  <w:style w:type="paragraph" w:styleId="23">
    <w:name w:val="toc 2"/>
    <w:basedOn w:val="a"/>
    <w:uiPriority w:val="39"/>
    <w:unhideWhenUsed/>
    <w:pPr>
      <w:spacing w:after="57"/>
      <w:ind w:left="283"/>
    </w:pPr>
  </w:style>
  <w:style w:type="paragraph" w:styleId="30">
    <w:name w:val="toc 3"/>
    <w:basedOn w:val="a"/>
    <w:uiPriority w:val="39"/>
    <w:unhideWhenUsed/>
    <w:pPr>
      <w:spacing w:after="57"/>
      <w:ind w:left="567"/>
    </w:pPr>
  </w:style>
  <w:style w:type="paragraph" w:styleId="40">
    <w:name w:val="toc 4"/>
    <w:basedOn w:val="a"/>
    <w:uiPriority w:val="39"/>
    <w:unhideWhenUsed/>
    <w:pPr>
      <w:spacing w:after="57"/>
      <w:ind w:left="850"/>
    </w:pPr>
  </w:style>
  <w:style w:type="paragraph" w:styleId="50">
    <w:name w:val="toc 5"/>
    <w:basedOn w:val="a"/>
    <w:uiPriority w:val="39"/>
    <w:unhideWhenUsed/>
    <w:pPr>
      <w:spacing w:after="57"/>
      <w:ind w:left="1134"/>
    </w:pPr>
  </w:style>
  <w:style w:type="paragraph" w:styleId="60">
    <w:name w:val="toc 6"/>
    <w:basedOn w:val="a"/>
    <w:uiPriority w:val="39"/>
    <w:unhideWhenUsed/>
    <w:pPr>
      <w:spacing w:after="57"/>
      <w:ind w:left="1417"/>
    </w:pPr>
  </w:style>
  <w:style w:type="paragraph" w:styleId="70">
    <w:name w:val="toc 7"/>
    <w:basedOn w:val="a"/>
    <w:uiPriority w:val="39"/>
    <w:unhideWhenUsed/>
    <w:pPr>
      <w:spacing w:after="57"/>
      <w:ind w:left="1701"/>
    </w:pPr>
  </w:style>
  <w:style w:type="paragraph" w:styleId="81">
    <w:name w:val="toc 8"/>
    <w:basedOn w:val="a"/>
    <w:uiPriority w:val="39"/>
    <w:unhideWhenUsed/>
    <w:pPr>
      <w:spacing w:after="57"/>
      <w:ind w:left="1984"/>
    </w:pPr>
  </w:style>
  <w:style w:type="paragraph" w:styleId="90">
    <w:name w:val="toc 9"/>
    <w:basedOn w:val="a"/>
    <w:uiPriority w:val="39"/>
    <w:unhideWhenUsed/>
    <w:pPr>
      <w:spacing w:after="57"/>
      <w:ind w:left="2268"/>
    </w:pPr>
  </w:style>
  <w:style w:type="paragraph" w:styleId="af0">
    <w:name w:val="index heading"/>
    <w:basedOn w:val="Heading"/>
  </w:style>
  <w:style w:type="paragraph" w:styleId="af1">
    <w:name w:val="TOC Heading"/>
    <w:uiPriority w:val="39"/>
    <w:unhideWhenUsed/>
    <w:pPr>
      <w:spacing w:after="160" w:line="259" w:lineRule="auto"/>
    </w:pPr>
  </w:style>
  <w:style w:type="paragraph" w:styleId="af2">
    <w:name w:val="table of figures"/>
    <w:basedOn w:val="a"/>
    <w:uiPriority w:val="99"/>
    <w:unhideWhenUsed/>
    <w:qFormat/>
    <w:pPr>
      <w:spacing w:after="0"/>
    </w:pPr>
  </w:style>
  <w:style w:type="paragraph" w:styleId="af3">
    <w:name w:val="No Spacing"/>
    <w:basedOn w:val="a"/>
    <w:uiPriority w:val="1"/>
    <w:qFormat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semiHidden/>
    <w:unhideWhenUsed/>
    <w:qFormat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note text"/>
    <w:basedOn w:val="a"/>
    <w:uiPriority w:val="99"/>
    <w:semiHidden/>
    <w:unhideWhenUsed/>
    <w:pPr>
      <w:spacing w:after="0" w:line="240" w:lineRule="auto"/>
    </w:pPr>
    <w:rPr>
      <w:sz w:val="20"/>
      <w:szCs w:val="20"/>
    </w:rPr>
  </w:style>
  <w:style w:type="paragraph" w:styleId="af6">
    <w:name w:val="List Paragraph"/>
    <w:basedOn w:val="a"/>
    <w:uiPriority w:val="34"/>
    <w:qFormat/>
    <w:pPr>
      <w:ind w:left="720"/>
      <w:contextualSpacing/>
    </w:pPr>
  </w:style>
  <w:style w:type="paragraph" w:styleId="af7">
    <w:name w:val="Balloon Text"/>
    <w:basedOn w:val="a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oshkovo.nso.ru/page/3965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58D253-E374-4BC3-87D8-7C9CB72FA3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1803</Words>
  <Characters>10279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User</cp:lastModifiedBy>
  <cp:revision>3</cp:revision>
  <dcterms:created xsi:type="dcterms:W3CDTF">2025-01-21T09:44:00Z</dcterms:created>
  <dcterms:modified xsi:type="dcterms:W3CDTF">2025-01-22T02:31:00Z</dcterms:modified>
  <dc:language>en-US</dc:language>
</cp:coreProperties>
</file>