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0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Calibri"/>
                <w:szCs w:val="20"/>
              </w:rPr>
            </w:r>
            <w:r>
              <w:rPr>
                <w:rFonts w:eastAsia="Calibri"/>
                <w:szCs w:val="20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АДМИНИСТРАЦИЯ МОШКОВСКОГО РАЙОНА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НОВОСИБИРСКОЙ ОБЛАСТИ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36"/>
              </w:rPr>
              <w:t xml:space="preserve">ПОСТАНОВЛЕНИЕ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>
              <w:trPr>
                <w:jc w:val="center"/>
              </w:trPr>
              <w:tc>
                <w:tcPr>
                  <w:tcW w:w="479" w:type="auto"/>
                  <w:vAlign w:val="bottom"/>
                  <w:textDirection w:val="lrTb"/>
                  <w:noWrap w:val="false"/>
                </w:tcPr>
                <w:p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от</w:t>
                  </w: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20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23.11.2023</w:t>
                  </w: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4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№</w:t>
                  </w: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12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1814-па</w:t>
                  </w: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</w:pPr>
            <w:r>
              <w:t xml:space="preserve">О внесении изменений в постановление администрации Мошковского района Новосибирской области от 22.09.2017 № 1460-па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ind w:firstLine="851"/>
        <w:jc w:val="both"/>
        <w:tabs>
          <w:tab w:val="left" w:pos="7230" w:leader="none"/>
        </w:tabs>
        <w:rPr>
          <w:b/>
        </w:rPr>
      </w:pPr>
      <w:r>
        <w:rPr>
          <w:lang w:eastAsia="en-US"/>
        </w:rPr>
        <w:t xml:space="preserve">В связи с ежегодным дополнением и опубликованием перечня муниципального имущества Мошковского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</w:t>
      </w:r>
      <w:r>
        <w:rPr>
          <w:lang w:eastAsia="en-US"/>
        </w:rPr>
        <w:t xml:space="preserve">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ПОСТАНОВЛЯЮ:</w:t>
      </w:r>
      <w:r/>
    </w:p>
    <w:p>
      <w:pPr>
        <w:ind w:firstLine="851"/>
        <w:jc w:val="both"/>
      </w:pPr>
      <w:r>
        <w:t xml:space="preserve">1. </w:t>
      </w:r>
      <w:r>
        <w:t xml:space="preserve">Внести в постановление администрации Мошковского района Новосибирской области </w:t>
      </w:r>
      <w:r>
        <w:t xml:space="preserve">от 22.09.2017 </w:t>
      </w:r>
      <w:r>
        <w:t xml:space="preserve">№ 1460-па </w:t>
      </w:r>
      <w:r>
        <w:t xml:space="preserve">«</w:t>
      </w:r>
      <w: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 следующие изменения:           </w:t>
      </w:r>
      <w:r/>
    </w:p>
    <w:p>
      <w:pPr>
        <w:ind w:firstLine="851"/>
        <w:jc w:val="both"/>
      </w:pPr>
      <w:r>
        <w:t xml:space="preserve">1.</w:t>
      </w:r>
      <w:r>
        <w:t xml:space="preserve">1.</w:t>
      </w:r>
      <w:r>
        <w:t xml:space="preserve"> Приложение к постановлению </w:t>
      </w:r>
      <w:r>
        <w:t xml:space="preserve">изложить в </w:t>
      </w:r>
      <w:r>
        <w:t xml:space="preserve">редакции согласно приложению</w:t>
      </w:r>
      <w:r>
        <w:t xml:space="preserve"> к настоящему постановлению</w:t>
      </w:r>
      <w:r>
        <w:t xml:space="preserve">.</w:t>
      </w:r>
      <w:r/>
    </w:p>
    <w:p>
      <w:pPr>
        <w:pStyle w:val="902"/>
        <w:ind w:right="-3" w:firstLine="851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со дня его подписания.</w:t>
      </w:r>
      <w:r>
        <w:rPr>
          <w:szCs w:val="28"/>
        </w:rPr>
      </w:r>
      <w:r>
        <w:rPr>
          <w:szCs w:val="28"/>
        </w:rPr>
      </w:r>
    </w:p>
    <w:p>
      <w:pPr>
        <w:pStyle w:val="899"/>
        <w:contextualSpacing/>
        <w:ind w:firstLine="851"/>
        <w:jc w:val="both"/>
        <w:spacing w:line="240" w:lineRule="auto"/>
        <w:tabs>
          <w:tab w:val="left" w:pos="-284" w:leader="none"/>
          <w:tab w:val="left" w:pos="0" w:leader="none"/>
        </w:tabs>
      </w:pPr>
      <w:r>
        <w:t xml:space="preserve">3. Контроль за исполнением настоящего постановления возложить на заместителя главы администра</w:t>
      </w:r>
      <w:r>
        <w:t xml:space="preserve">ции Мошковского района Новосибирской области Бараника А.А.    </w:t>
      </w:r>
      <w:r/>
    </w:p>
    <w:p>
      <w:pPr>
        <w:pStyle w:val="899"/>
        <w:contextualSpacing/>
        <w:ind w:firstLine="709"/>
        <w:jc w:val="both"/>
        <w:spacing w:line="240" w:lineRule="auto"/>
        <w:tabs>
          <w:tab w:val="left" w:pos="-284" w:leader="none"/>
          <w:tab w:val="left" w:pos="0" w:leader="none"/>
        </w:tabs>
      </w:pPr>
      <w:r>
        <w:t xml:space="preserve">       </w:t>
      </w:r>
      <w:r/>
    </w:p>
    <w:p>
      <w:pPr>
        <w:jc w:val="both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r>
              <w:t xml:space="preserve">Глава Мошковского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right"/>
            </w:pPr>
            <w:r>
              <w:t xml:space="preserve">С.Н. Субботин     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Карасюк Т.А.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60-090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iCs/>
        </w:rPr>
      </w:pPr>
      <w:r>
        <w:rPr>
          <w:iCs/>
        </w:rPr>
      </w:r>
      <w:r>
        <w:rPr>
          <w:iCs/>
        </w:rPr>
      </w:r>
      <w:r>
        <w:rPr>
          <w:iCs/>
        </w:rPr>
      </w:r>
    </w:p>
    <w:p>
      <w:pPr>
        <w:jc w:val="right"/>
        <w:rPr>
          <w:iCs/>
        </w:rPr>
      </w:pPr>
      <w:r/>
      <w:bookmarkStart w:id="0" w:name="_GoBack"/>
      <w:r/>
      <w:bookmarkEnd w:id="0"/>
      <w:r>
        <w:rPr>
          <w:iCs/>
        </w:rPr>
        <w:t xml:space="preserve">ПРИЛОЖЕНИЕ </w:t>
      </w:r>
      <w:r>
        <w:rPr>
          <w:iCs/>
        </w:rPr>
      </w:r>
      <w:r>
        <w:rPr>
          <w:iCs/>
        </w:rPr>
      </w:r>
    </w:p>
    <w:p>
      <w:pPr>
        <w:jc w:val="right"/>
        <w:rPr>
          <w:iCs/>
        </w:rPr>
      </w:pPr>
      <w:r>
        <w:rPr>
          <w:iCs/>
        </w:rPr>
        <w:t xml:space="preserve">к постановлению администрации</w:t>
      </w:r>
      <w:r>
        <w:rPr>
          <w:iCs/>
        </w:rPr>
      </w:r>
      <w:r>
        <w:rPr>
          <w:iCs/>
        </w:rPr>
      </w:r>
    </w:p>
    <w:p>
      <w:pPr>
        <w:jc w:val="right"/>
        <w:rPr>
          <w:iCs/>
        </w:rPr>
      </w:pPr>
      <w:r>
        <w:rPr>
          <w:iCs/>
        </w:rPr>
        <w:t xml:space="preserve">Мошковского района</w:t>
      </w:r>
      <w:r>
        <w:rPr>
          <w:iCs/>
        </w:rPr>
      </w:r>
      <w:r>
        <w:rPr>
          <w:iCs/>
        </w:rPr>
      </w:r>
    </w:p>
    <w:p>
      <w:pPr>
        <w:jc w:val="right"/>
        <w:rPr>
          <w:iCs/>
        </w:rPr>
      </w:pPr>
      <w:r>
        <w:rPr>
          <w:iCs/>
        </w:rPr>
        <w:t xml:space="preserve">Новосибирской области </w:t>
      </w:r>
      <w:r>
        <w:rPr>
          <w:iCs/>
        </w:rPr>
      </w:r>
      <w:r>
        <w:rPr>
          <w:iCs/>
        </w:rPr>
      </w:r>
    </w:p>
    <w:p>
      <w:pPr>
        <w:jc w:val="right"/>
        <w:tabs>
          <w:tab w:val="left" w:pos="0" w:leader="none"/>
          <w:tab w:val="center" w:pos="4960" w:leader="none"/>
        </w:tabs>
        <w:rPr>
          <w:b/>
          <w:bCs/>
        </w:rPr>
      </w:pPr>
      <w:r>
        <w:rPr>
          <w:iCs/>
        </w:rPr>
        <w:t xml:space="preserve">от</w:t>
      </w:r>
      <w:r>
        <w:rPr>
          <w:iCs/>
        </w:rPr>
        <w:t xml:space="preserve">   </w:t>
      </w:r>
      <w:r>
        <w:rPr>
          <w:iCs/>
          <w:u w:val="single"/>
        </w:rPr>
        <w:t xml:space="preserve">23.11.2023    </w:t>
      </w:r>
      <w:r>
        <w:rPr>
          <w:iCs/>
        </w:rPr>
        <w:t xml:space="preserve"> №  </w:t>
      </w:r>
      <w:r>
        <w:rPr>
          <w:iCs/>
          <w:u w:val="single"/>
        </w:rPr>
        <w:t xml:space="preserve">1814-па</w:t>
      </w:r>
      <w:r>
        <w:rPr>
          <w:b/>
          <w:bCs/>
          <w:u w:val="single"/>
        </w:rPr>
      </w:r>
      <w:r>
        <w:rPr>
          <w:b/>
          <w:bCs/>
        </w:rPr>
      </w:r>
    </w:p>
    <w:p>
      <w:pPr>
        <w:ind w:firstLine="567"/>
        <w:jc w:val="both"/>
      </w:pPr>
      <w:r/>
      <w:r/>
    </w:p>
    <w:p>
      <w:pPr>
        <w:ind w:firstLine="709"/>
        <w:jc w:val="both"/>
      </w:pPr>
      <w:r/>
      <w:r/>
    </w:p>
    <w:p>
      <w:pPr>
        <w:rPr>
          <w:iCs/>
          <w:sz w:val="24"/>
          <w:szCs w:val="24"/>
        </w:rPr>
      </w:pPr>
      <w:r>
        <w:rPr>
          <w:bCs/>
        </w:rPr>
        <w:t xml:space="preserve">«</w:t>
      </w:r>
      <w:r>
        <w:rPr>
          <w:bCs/>
        </w:rPr>
        <w:tab/>
        <w:t xml:space="preserve">                                                  </w:t>
      </w:r>
      <w:bookmarkStart w:id="1" w:name="undefined"/>
      <w:r/>
      <w:bookmarkEnd w:id="1"/>
      <w:r>
        <w:rPr>
          <w:bCs/>
        </w:rPr>
        <w:t xml:space="preserve">                                                         </w:t>
      </w:r>
      <w:r>
        <w:rPr>
          <w:iCs/>
          <w:sz w:val="24"/>
          <w:szCs w:val="24"/>
        </w:rPr>
        <w:t xml:space="preserve">ПРИЛОЖЕНИЕ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 постановлению администрации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Мошковского района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Новосибирской области 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jc w:val="right"/>
        <w:tabs>
          <w:tab w:val="left" w:pos="0" w:leader="none"/>
          <w:tab w:val="center" w:pos="4960" w:leader="none"/>
        </w:tabs>
        <w:rPr>
          <w:b/>
          <w:b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  <w:u w:val="single"/>
        </w:rPr>
        <w:t xml:space="preserve"> 22.09.2017 </w:t>
      </w:r>
      <w:r>
        <w:rPr>
          <w:iCs/>
          <w:sz w:val="24"/>
          <w:szCs w:val="24"/>
        </w:rPr>
        <w:t xml:space="preserve"> № </w:t>
      </w:r>
      <w:r>
        <w:rPr>
          <w:iCs/>
          <w:sz w:val="24"/>
          <w:szCs w:val="24"/>
          <w:u w:val="single"/>
        </w:rPr>
        <w:t xml:space="preserve">1460-па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>
        <w:trPr>
          <w:jc w:val="center"/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</w:t>
            </w:r>
            <w:r>
              <w:rPr>
                <w:color w:val="000000"/>
                <w:sz w:val="24"/>
                <w:szCs w:val="24"/>
              </w:rPr>
              <w:t xml:space="preserve">ание публично-правового образования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bottom"/>
            <w:textDirection w:val="lrTb"/>
            <w:noWrap/>
          </w:tcPr>
          <w:p>
            <w:pPr>
              <w:rPr>
                <w:i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i/>
                <w:color w:val="000000"/>
              </w:rPr>
              <w:t xml:space="preserve">Мошковский район Новосибирской области</w:t>
            </w:r>
            <w:r>
              <w:rPr>
                <w:i/>
                <w:color w:val="000000"/>
              </w:rPr>
            </w:r>
            <w:r>
              <w:rPr>
                <w:i/>
                <w:color w:val="000000"/>
              </w:rPr>
            </w:r>
          </w:p>
        </w:tc>
      </w:tr>
      <w:tr>
        <w:trPr>
          <w:jc w:val="center"/>
          <w:trHeight w:val="904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органа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</w:t>
            </w:r>
            <w:r>
              <w:rPr>
                <w:color w:val="000000"/>
                <w:sz w:val="20"/>
                <w:szCs w:val="20"/>
              </w:rPr>
              <w:t xml:space="preserve">нистрация Мошковского района Новосибирской области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Почтовый адрес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633131, НСО, Мошковский район, р.п.Мошково, ул.Советская, 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Ответственное структурное подразделение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имущественных и земельных отношений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Ф.И.О исполнителя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Карасюк Татьяна Александровна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Контактный номер телефона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(383-48) 60-090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Адрес электронной почты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kta48@nso.ru</w:t>
            </w: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12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Адрес страницы в информационно-телекоммуникационной сети «Интернет» с размещенным перечнем (изменениями, внесенными в перечень)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http://moshkovo.nso.ru/page/3327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right" w:pos="9921" w:leader="none"/>
        </w:tabs>
      </w:pPr>
      <w:r>
        <w:t xml:space="preserve">                                                                                           </w:t>
      </w:r>
      <w:r>
        <w:tab/>
      </w:r>
      <w:r/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709" w:right="567" w:bottom="397" w:left="1418" w:header="709" w:footer="709" w:gutter="0"/>
          <w:cols w:num="1" w:sep="0" w:space="708" w:equalWidth="1"/>
          <w:docGrid w:linePitch="360"/>
        </w:sectPr>
      </w:pPr>
      <w:r/>
      <w:r/>
    </w:p>
    <w:p>
      <w:pPr>
        <w:ind w:left="993"/>
        <w:jc w:val="center"/>
        <w:rPr>
          <w:bCs/>
        </w:rPr>
      </w:pPr>
      <w:r>
        <w:rPr>
          <w:bCs/>
        </w:rPr>
        <w:t xml:space="preserve">ПЕРЕЧЕНЬ</w:t>
      </w:r>
      <w:r>
        <w:rPr>
          <w:bCs/>
        </w:rPr>
      </w:r>
      <w:r>
        <w:rPr>
          <w:bCs/>
        </w:rPr>
      </w:r>
    </w:p>
    <w:p>
      <w:pPr>
        <w:ind w:left="993"/>
        <w:jc w:val="center"/>
        <w:rPr>
          <w:bCs/>
        </w:rPr>
      </w:pPr>
      <w:r>
        <w:rPr>
          <w:bCs/>
        </w:rPr>
        <w:t xml:space="preserve">муниципального имущества свободного от прав третьих лиц (за исключением имущественных прав субъектов малого и среднего предпринимательства)</w:t>
      </w:r>
      <w:r>
        <w:rPr>
          <w:bCs/>
        </w:rPr>
      </w:r>
      <w:r>
        <w:rPr>
          <w:bCs/>
        </w:rPr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1527"/>
        <w:gridCol w:w="1167"/>
        <w:gridCol w:w="1134"/>
        <w:gridCol w:w="703"/>
        <w:gridCol w:w="1162"/>
        <w:gridCol w:w="539"/>
        <w:gridCol w:w="567"/>
        <w:gridCol w:w="851"/>
        <w:gridCol w:w="992"/>
        <w:gridCol w:w="874"/>
        <w:gridCol w:w="691"/>
        <w:gridCol w:w="1133"/>
      </w:tblGrid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п/п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в реестре имущест-ва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(местоположение) объекта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Структурированный адрес объекта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объекта недвижи</w:t>
            </w:r>
            <w:r>
              <w:rPr>
                <w:color w:val="000000"/>
                <w:sz w:val="16"/>
                <w:szCs w:val="16"/>
              </w:rPr>
              <w:t xml:space="preserve">мости; движимое имущество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7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Наименова-ние субъекта Российской Федерации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муници- пального района / городского округа / внутри-городского округа территории города федерально-го значения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городского поселения / сельского поселения/ внутригородского района городского округа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населен-ного пункта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Наиме-нование населен-ного пункта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Тип элемента планировочной структуры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Наиме-нование элемента плани-ровоч-ной структу-ры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Тип элемента</w:t>
            </w:r>
            <w:r>
              <w:rPr>
                <w:color w:val="000000"/>
                <w:sz w:val="16"/>
                <w:szCs w:val="16"/>
              </w:rPr>
              <w:t xml:space="preserve"> улично-дорожной сети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Наимено-вание элемента улично-дорожной сети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дома (включая литеру)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Тип и номер корпуса, строения, владения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54.019.00.0106.002697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НСО, </w:t>
            </w:r>
            <w:r>
              <w:rPr>
                <w:color w:val="000000"/>
                <w:sz w:val="16"/>
                <w:szCs w:val="16"/>
              </w:rPr>
              <w:t xml:space="preserve">Мошковский район, с.Верх-Балта, пер.Почтовый, д.16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сельское поселение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0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село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Верх-Балта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переулок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Почтовый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часть здания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54.019.00.0106.018974 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НСО, Мошковский район, р.п.Мошково, ул.Г</w:t>
            </w:r>
            <w:r>
              <w:rPr>
                <w:color w:val="000000"/>
                <w:sz w:val="16"/>
                <w:szCs w:val="16"/>
              </w:rPr>
              <w:t xml:space="preserve">агарина, д.3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городское поселение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0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Рабочий поселок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улица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Гагарина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часть помещения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54.019.00.0106.022522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НСО, Мошковский район, с.Ташара, ул.Гагарина, д.1Г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сельское поселение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0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село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Ташара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улица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Гагарина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1Г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Нежилое помещение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54.019.00.0104.01730</w:t>
            </w: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НСО, Мошковский район, Широкоярский сельсовет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Широкоярский сельсовет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0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r/>
      <w:r/>
    </w:p>
    <w:tbl>
      <w:tblPr>
        <w:tblW w:w="15525" w:type="dxa"/>
        <w:tblLayout w:type="fixed"/>
        <w:tblLook w:val="04A0" w:firstRow="1" w:lastRow="0" w:firstColumn="1" w:lastColumn="0" w:noHBand="0" w:noVBand="1"/>
      </w:tblPr>
      <w:tblGrid>
        <w:gridCol w:w="1931"/>
        <w:gridCol w:w="1154"/>
        <w:gridCol w:w="1835"/>
        <w:gridCol w:w="2603"/>
        <w:gridCol w:w="1420"/>
        <w:gridCol w:w="1341"/>
        <w:gridCol w:w="1164"/>
        <w:gridCol w:w="862"/>
        <w:gridCol w:w="698"/>
        <w:gridCol w:w="567"/>
        <w:gridCol w:w="425"/>
        <w:gridCol w:w="425"/>
        <w:gridCol w:w="1100"/>
      </w:tblGrid>
      <w:tr>
        <w:trPr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Сведения о недвижимом имуществе или его части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Сведения о движимом имуществе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4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номер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Основная характеристика объекта недвижимости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объекта учета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Тип (площадь - для земельных участков, зданий, помещений;  протяженность</w:t>
            </w:r>
            <w:r>
              <w:rPr>
                <w:color w:val="000000"/>
                <w:sz w:val="16"/>
                <w:szCs w:val="16"/>
              </w:rPr>
              <w:t xml:space="preserve"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Фактическое значение/ Проектируемое значение (для объектов нез</w:t>
            </w:r>
            <w:r>
              <w:rPr>
                <w:color w:val="000000"/>
                <w:sz w:val="16"/>
                <w:szCs w:val="16"/>
              </w:rPr>
              <w:t xml:space="preserve">авершенного строительства)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Единица измерения (для площади - кв. м; для протяженности - м; для глубины залегания - м; для объема - куб. м)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Тип: оборудование, машины, механизмы, установки, транспортные средства, инвентарь, инструменты, иное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Государственный </w:t>
            </w:r>
            <w:r>
              <w:rPr>
                <w:color w:val="000000"/>
                <w:sz w:val="16"/>
                <w:szCs w:val="16"/>
              </w:rPr>
              <w:t xml:space="preserve">регистрационный знак (при наличии)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объекта учета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Марка, модель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Год выпуска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в (на) котором расположен объект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Тип (кадастровый, условный, устаревший)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54:18:040304:53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54:18:040304:53/1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54:18:040304:53/2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площадь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53,3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кв.м.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Помещение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54:18:000000:1821/2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площадь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286,3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кв.м.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Часть помещения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54:18:080104:705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площадь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16,4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кв.м.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Помещение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54:18:090401:87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кадастровый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площадь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947378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кв.м.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r/>
      <w:r/>
    </w:p>
    <w:p>
      <w:r/>
      <w:r/>
    </w:p>
    <w:tbl>
      <w:tblPr>
        <w:tblW w:w="14877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709"/>
        <w:gridCol w:w="709"/>
        <w:gridCol w:w="850"/>
        <w:gridCol w:w="284"/>
        <w:gridCol w:w="425"/>
        <w:gridCol w:w="708"/>
        <w:gridCol w:w="708"/>
        <w:gridCol w:w="963"/>
        <w:gridCol w:w="2340"/>
        <w:gridCol w:w="1346"/>
        <w:gridCol w:w="992"/>
        <w:gridCol w:w="850"/>
        <w:gridCol w:w="1368"/>
        <w:gridCol w:w="1212"/>
      </w:tblGrid>
      <w:tr>
        <w:trPr>
          <w:trHeight w:val="20"/>
        </w:trPr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Сведения о праве аренды или безвозмездного пользования имуществом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Указать одно из значений:  в перечне  (изменениях в перечни)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РФ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образование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организации, образующей инфраструктуру поддержки субъектов малого и среднего предприниматель</w:t>
            </w:r>
            <w:r>
              <w:rPr>
                <w:color w:val="000000"/>
                <w:sz w:val="16"/>
                <w:szCs w:val="16"/>
              </w:rPr>
              <w:t xml:space="preserve">ства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субъекта малого и среднего предпринимательства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4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Правообладатель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Документы основание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Правообладатель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Документы основание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органа, принявшего документ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документа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Реквизиты документа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Полное наиме-нование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ОГРН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Дата заключе-ния</w:t>
            </w:r>
            <w:r>
              <w:rPr>
                <w:color w:val="000000"/>
                <w:sz w:val="16"/>
                <w:szCs w:val="16"/>
              </w:rPr>
              <w:t xml:space="preserve"> договора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Дата окончания действия договора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Полное наиме-нование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ОГРН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Дата заключе-ния договора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Дата окончания действия договора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cantSplit/>
          <w:trHeight w:val="13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btLr"/>
            <w:noWrap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ИП Ремнева Светлана Валерьевна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btLr"/>
            <w:noWrap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543205502422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07.10.2020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30.09.2025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перечне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Мошковского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21.09.2016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1039-па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перечне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Мошковского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29.10.2019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1660-па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перечне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Мошковского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09.10.2020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1422-па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cantSplit/>
          <w:trHeight w:val="12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«ЭКО-ПАРК»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bottom"/>
            <w:textDirection w:val="btLr"/>
            <w:noWrap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1165476076402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17.01. 2020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09.12. 2058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перечне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Мошковского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Новосибирская область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Мошковский район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jc w:val="center"/>
      </w:pPr>
      <w:r/>
      <w:r/>
    </w:p>
    <w:p>
      <w:r/>
      <w:r/>
    </w:p>
    <w:p>
      <w:pPr>
        <w:jc w:val="right"/>
      </w:pPr>
      <w:r>
        <w:t xml:space="preserve">».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1418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15" w:hanging="615"/>
      </w:pPr>
      <w:rPr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1415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1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6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6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1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97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6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0" w:hanging="2160"/>
      </w:pPr>
      <w:rPr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8"/>
      <w:numFmt w:val="decimal"/>
      <w:isLgl w:val="false"/>
      <w:suff w:val="tab"/>
      <w:lvlText w:val="%1.%2."/>
      <w:lvlJc w:val="left"/>
      <w:pPr>
        <w:ind w:left="1425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color w:val="000000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7"/>
      <w:numFmt w:val="decimal"/>
      <w:isLgl w:val="false"/>
      <w:suff w:val="tab"/>
      <w:lvlText w:val="%1.%2."/>
      <w:lvlJc w:val="left"/>
      <w:pPr>
        <w:ind w:left="1425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20"/>
        <w:tabs>
          <w:tab w:val="num" w:pos="17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15" w:hanging="615"/>
      </w:pPr>
      <w:rPr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1415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1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6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6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1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97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6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0" w:hanging="2160"/>
      </w:pPr>
      <w:rPr>
        <w:color w:val="000000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5" w:hanging="525"/>
      </w:pPr>
      <w:rPr>
        <w:color w:val="000000"/>
      </w:rPr>
    </w:lvl>
    <w:lvl w:ilvl="1">
      <w:start w:val="13"/>
      <w:numFmt w:val="decimal"/>
      <w:isLgl w:val="false"/>
      <w:suff w:val="tab"/>
      <w:lvlText w:val="%1.%2"/>
      <w:lvlJc w:val="left"/>
      <w:pPr>
        <w:ind w:left="1235" w:hanging="52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1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2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9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0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7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40" w:hanging="2160"/>
      </w:pPr>
      <w:rPr>
        <w:color w:val="000000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9"/>
      <w:numFmt w:val="decimal"/>
      <w:isLgl w:val="false"/>
      <w:suff w:val="tab"/>
      <w:lvlText w:val="%1.%2."/>
      <w:lvlJc w:val="left"/>
      <w:pPr>
        <w:ind w:left="1425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color w:val="000000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color w:val="000000"/>
      </w:rPr>
    </w:lvl>
    <w:lvl w:ilvl="1">
      <w:start w:val="13"/>
      <w:numFmt w:val="decimal"/>
      <w:isLgl w:val="false"/>
      <w:suff w:val="tab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color w:val="00000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color w:val="000000"/>
      </w:rPr>
    </w:lvl>
    <w:lvl w:ilvl="1">
      <w:start w:val="14"/>
      <w:numFmt w:val="decimal"/>
      <w:isLgl w:val="false"/>
      <w:suff w:val="tab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color w:val="00000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  <w:tabs>
          <w:tab w:val="num" w:pos="21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  <w:tabs>
          <w:tab w:val="num" w:pos="28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7188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6"/>
      <w:numFmt w:val="decimal"/>
      <w:isLgl w:val="false"/>
      <w:suff w:val="tab"/>
      <w:lvlText w:val="%1.%2."/>
      <w:lvlJc w:val="left"/>
      <w:pPr>
        <w:ind w:left="1425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color w:val="00000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16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10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3"/>
    <w:uiPriority w:val="10"/>
    <w:rPr>
      <w:sz w:val="48"/>
      <w:szCs w:val="48"/>
    </w:rPr>
  </w:style>
  <w:style w:type="character" w:styleId="702">
    <w:name w:val="Subtitle Char"/>
    <w:basedOn w:val="719"/>
    <w:link w:val="735"/>
    <w:uiPriority w:val="11"/>
    <w:rPr>
      <w:sz w:val="24"/>
      <w:szCs w:val="24"/>
    </w:rPr>
  </w:style>
  <w:style w:type="character" w:styleId="703">
    <w:name w:val="Quote Char"/>
    <w:link w:val="737"/>
    <w:uiPriority w:val="29"/>
    <w:rPr>
      <w:i/>
    </w:rPr>
  </w:style>
  <w:style w:type="character" w:styleId="704">
    <w:name w:val="Intense Quote Char"/>
    <w:link w:val="739"/>
    <w:uiPriority w:val="30"/>
    <w:rPr>
      <w:i/>
    </w:rPr>
  </w:style>
  <w:style w:type="character" w:styleId="705">
    <w:name w:val="Header Char"/>
    <w:basedOn w:val="719"/>
    <w:link w:val="741"/>
    <w:uiPriority w:val="99"/>
  </w:style>
  <w:style w:type="character" w:styleId="706">
    <w:name w:val="Caption Char"/>
    <w:basedOn w:val="745"/>
    <w:link w:val="743"/>
    <w:uiPriority w:val="99"/>
  </w:style>
  <w:style w:type="character" w:styleId="707">
    <w:name w:val="Footnote Text Char"/>
    <w:link w:val="874"/>
    <w:uiPriority w:val="99"/>
    <w:rPr>
      <w:sz w:val="18"/>
    </w:rPr>
  </w:style>
  <w:style w:type="character" w:styleId="708">
    <w:name w:val="Endnote Text Char"/>
    <w:link w:val="877"/>
    <w:uiPriority w:val="99"/>
    <w:rPr>
      <w:sz w:val="20"/>
    </w:rPr>
  </w:style>
  <w:style w:type="paragraph" w:styleId="709" w:default="1">
    <w:name w:val="Normal"/>
    <w:qFormat/>
    <w:rPr>
      <w:sz w:val="28"/>
      <w:szCs w:val="28"/>
    </w:rPr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rPr>
      <w:lang w:eastAsia="zh-CN"/>
    </w:rPr>
  </w:style>
  <w:style w:type="paragraph" w:styleId="733">
    <w:name w:val="Title"/>
    <w:basedOn w:val="709"/>
    <w:next w:val="70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link w:val="733"/>
    <w:uiPriority w:val="10"/>
    <w:rPr>
      <w:sz w:val="48"/>
      <w:szCs w:val="48"/>
    </w:rPr>
  </w:style>
  <w:style w:type="paragraph" w:styleId="735">
    <w:name w:val="Subtitle"/>
    <w:basedOn w:val="709"/>
    <w:next w:val="70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link w:val="741"/>
    <w:uiPriority w:val="99"/>
  </w:style>
  <w:style w:type="paragraph" w:styleId="743">
    <w:name w:val="Footer"/>
    <w:basedOn w:val="709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>
    <w:name w:val="Table Grid"/>
    <w:basedOn w:val="720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3">
    <w:name w:val="Hyperlink"/>
    <w:uiPriority w:val="99"/>
    <w:unhideWhenUsed/>
    <w:rPr>
      <w:color w:val="0000ff"/>
      <w:u w:val="single"/>
    </w:rPr>
  </w:style>
  <w:style w:type="paragraph" w:styleId="874">
    <w:name w:val="footnote text"/>
    <w:basedOn w:val="709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9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2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3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4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5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6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7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8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  <w:rPr>
      <w:lang w:eastAsia="zh-CN"/>
    </w:rPr>
  </w:style>
  <w:style w:type="paragraph" w:styleId="890">
    <w:name w:val="table of figures"/>
    <w:basedOn w:val="709"/>
    <w:next w:val="709"/>
    <w:uiPriority w:val="99"/>
    <w:unhideWhenUsed/>
  </w:style>
  <w:style w:type="paragraph" w:styleId="891">
    <w:name w:val="Balloon Text"/>
    <w:basedOn w:val="709"/>
    <w:semiHidden/>
    <w:rPr>
      <w:rFonts w:ascii="Tahoma" w:hAnsi="Tahoma" w:cs="Tahoma"/>
      <w:sz w:val="16"/>
      <w:szCs w:val="16"/>
    </w:rPr>
  </w:style>
  <w:style w:type="character" w:styleId="892" w:customStyle="1">
    <w:name w:val="Основной текст Знак1"/>
    <w:link w:val="894"/>
    <w:uiPriority w:val="99"/>
    <w:rPr>
      <w:sz w:val="27"/>
      <w:szCs w:val="27"/>
      <w:shd w:val="clear" w:color="auto" w:fill="ffffff"/>
    </w:rPr>
  </w:style>
  <w:style w:type="character" w:styleId="893" w:customStyle="1">
    <w:name w:val="Основной текст + 16 pt;Курсив"/>
    <w:uiPriority w:val="99"/>
    <w:rPr>
      <w:i/>
      <w:iCs/>
      <w:sz w:val="32"/>
      <w:szCs w:val="32"/>
      <w:shd w:val="clear" w:color="auto" w:fill="ffffff"/>
    </w:rPr>
  </w:style>
  <w:style w:type="paragraph" w:styleId="894">
    <w:name w:val="Body Text"/>
    <w:basedOn w:val="709"/>
    <w:link w:val="892"/>
    <w:uiPriority w:val="99"/>
    <w:pPr>
      <w:spacing w:after="120" w:line="322" w:lineRule="exact"/>
      <w:shd w:val="clear" w:color="auto" w:fill="ffffff"/>
      <w:widowControl w:val="off"/>
    </w:pPr>
    <w:rPr>
      <w:sz w:val="27"/>
      <w:szCs w:val="27"/>
    </w:rPr>
  </w:style>
  <w:style w:type="character" w:styleId="895" w:customStyle="1">
    <w:name w:val="Основной текст Знак"/>
    <w:rPr>
      <w:sz w:val="28"/>
      <w:szCs w:val="28"/>
    </w:rPr>
  </w:style>
  <w:style w:type="character" w:styleId="896" w:customStyle="1">
    <w:name w:val="Основной текст + 16 pt1;Курсив1"/>
    <w:uiPriority w:val="99"/>
    <w:rPr>
      <w:i/>
      <w:iCs/>
      <w:sz w:val="32"/>
      <w:szCs w:val="32"/>
      <w:shd w:val="clear" w:color="auto" w:fill="ffffff"/>
      <w:lang w:val="en-US" w:eastAsia="en-US"/>
    </w:rPr>
  </w:style>
  <w:style w:type="character" w:styleId="897" w:customStyle="1">
    <w:name w:val="Основной текст (3)_"/>
    <w:link w:val="898"/>
    <w:uiPriority w:val="99"/>
    <w:rPr>
      <w:sz w:val="28"/>
      <w:szCs w:val="28"/>
      <w:shd w:val="clear" w:color="auto" w:fill="ffffff"/>
    </w:rPr>
  </w:style>
  <w:style w:type="paragraph" w:styleId="898" w:customStyle="1">
    <w:name w:val="Основной текст (3)"/>
    <w:basedOn w:val="709"/>
    <w:link w:val="897"/>
    <w:uiPriority w:val="99"/>
    <w:pPr>
      <w:jc w:val="center"/>
      <w:spacing w:before="600" w:line="317" w:lineRule="exact"/>
      <w:shd w:val="clear" w:color="auto" w:fill="ffffff"/>
      <w:widowControl w:val="off"/>
    </w:pPr>
  </w:style>
  <w:style w:type="paragraph" w:styleId="899">
    <w:name w:val="Body Text 2"/>
    <w:basedOn w:val="709"/>
    <w:link w:val="900"/>
    <w:pPr>
      <w:spacing w:after="120" w:line="480" w:lineRule="auto"/>
    </w:pPr>
  </w:style>
  <w:style w:type="character" w:styleId="900" w:customStyle="1">
    <w:name w:val="Основной текст 2 Знак"/>
    <w:link w:val="899"/>
    <w:rPr>
      <w:sz w:val="28"/>
      <w:szCs w:val="28"/>
    </w:rPr>
  </w:style>
  <w:style w:type="table" w:styleId="901" w:customStyle="1">
    <w:name w:val="Сетка таблицы1"/>
    <w:basedOn w:val="720"/>
    <w:next w:val="74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02" w:customStyle="1">
    <w:name w:val="Основной текст1"/>
    <w:unhideWhenUsed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 </dc:title>
  <dc:creator>Адм</dc:creator>
  <cp:revision>71</cp:revision>
  <dcterms:created xsi:type="dcterms:W3CDTF">2013-11-25T02:44:00Z</dcterms:created>
  <dcterms:modified xsi:type="dcterms:W3CDTF">2023-11-24T03:01:51Z</dcterms:modified>
  <cp:version>983040</cp:version>
</cp:coreProperties>
</file>