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7EA" w:rsidRDefault="00E322D0" w:rsidP="00FA7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Развитие </w:t>
      </w:r>
      <w:r w:rsidR="00FA7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промышленного</w:t>
      </w:r>
      <w:proofErr w:type="gramEnd"/>
      <w:r w:rsidR="00FA7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производства </w:t>
      </w:r>
    </w:p>
    <w:p w:rsidR="00FA77EA" w:rsidRDefault="00FA77EA" w:rsidP="00FA7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Мошковского</w:t>
      </w:r>
      <w:proofErr w:type="spellEnd"/>
      <w:r w:rsidR="00924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Новосибирской области 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2024 год</w:t>
      </w:r>
      <w:r w:rsidR="00924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bookmarkStart w:id="0" w:name="_GoBack"/>
      <w:bookmarkEnd w:id="0"/>
    </w:p>
    <w:p w:rsidR="00FA77EA" w:rsidRPr="00FA77EA" w:rsidRDefault="00FA77EA" w:rsidP="00FA7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77EA" w:rsidRPr="00FA77EA" w:rsidRDefault="00FA77EA" w:rsidP="00FA7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промышленной продукции в 2024 году составил 918,6 млн руб., что увеличило уровень 2023 года на 5,7% в действующих ценах. Индекс физического объема составил 101,7%.  </w:t>
      </w:r>
    </w:p>
    <w:p w:rsidR="00FA77EA" w:rsidRPr="00FA77EA" w:rsidRDefault="00FA77EA" w:rsidP="00FA7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7EA" w:rsidRPr="00FA77EA" w:rsidRDefault="00FA77EA" w:rsidP="00FA7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7E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968875" cy="2195195"/>
            <wp:effectExtent l="0" t="0" r="3175" b="1460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A77EA" w:rsidRPr="00FA77EA" w:rsidRDefault="00FA77EA" w:rsidP="00FA77E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FA77EA" w:rsidRPr="00FA77EA" w:rsidRDefault="00FA77EA" w:rsidP="00FA7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района стабильно работают </w:t>
      </w:r>
      <w:proofErr w:type="gramStart"/>
      <w:r w:rsidRPr="00FA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  промышленных</w:t>
      </w:r>
      <w:proofErr w:type="gramEnd"/>
      <w:r w:rsidRPr="00FA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предприятий и 7 индивидуальных предпринимателей по производству пиломатериалов, строительных блоков для жилого и промышленного домостроения, лакокрасочных материалов, пищевой промышленности (хлеба, хлебобулочных и кондитерских изделий, розлива масла), оказывались услуги по перекачке нефтепродуктов.</w:t>
      </w:r>
    </w:p>
    <w:p w:rsidR="00FA77EA" w:rsidRPr="00FA77EA" w:rsidRDefault="00FA77EA" w:rsidP="00FA7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выпускаемой продукции:</w:t>
      </w:r>
    </w:p>
    <w:p w:rsidR="00FA77EA" w:rsidRPr="00FA77EA" w:rsidRDefault="00FA77EA" w:rsidP="00FA7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A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пиломатериал – 7 тыс. куб. м в год, </w:t>
      </w:r>
    </w:p>
    <w:p w:rsidR="00FA77EA" w:rsidRPr="00FA77EA" w:rsidRDefault="00FA77EA" w:rsidP="00FA7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A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строительные блоки – 12 тыс. куб. м в год, </w:t>
      </w:r>
    </w:p>
    <w:p w:rsidR="00FA77EA" w:rsidRPr="00FA77EA" w:rsidRDefault="00FA77EA" w:rsidP="00FA7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A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хлеб, хлебобулочные и кондитерские изделия – </w:t>
      </w:r>
      <w:proofErr w:type="gramStart"/>
      <w:r w:rsidRPr="00FA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700  тонн</w:t>
      </w:r>
      <w:proofErr w:type="gramEnd"/>
      <w:r w:rsidRPr="00FA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год, </w:t>
      </w:r>
    </w:p>
    <w:p w:rsidR="00FA77EA" w:rsidRPr="00FA77EA" w:rsidRDefault="00FA77EA" w:rsidP="00FA7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A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розлив масла – 28 тыс. тонн в год.  </w:t>
      </w:r>
    </w:p>
    <w:p w:rsidR="00FA77EA" w:rsidRPr="00FA77EA" w:rsidRDefault="00FA77EA" w:rsidP="00FA7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крупные промышленные предприятия района: ООО «Звезда», АО «</w:t>
      </w:r>
      <w:proofErr w:type="spellStart"/>
      <w:r w:rsidRPr="00FA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Транснефть</w:t>
      </w:r>
      <w:proofErr w:type="spellEnd"/>
      <w:r w:rsidRPr="00FA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Западная Сибирь», ООО «Монолит-бетон», ЗАО «Новосибирский эмульсионный завод», ООО «</w:t>
      </w:r>
      <w:proofErr w:type="spellStart"/>
      <w:r w:rsidRPr="00FA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АльянсТрансТорг</w:t>
      </w:r>
      <w:proofErr w:type="spellEnd"/>
      <w:r w:rsidRPr="00FA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A77EA" w:rsidRPr="00FA77EA" w:rsidRDefault="00FA77EA" w:rsidP="00FA7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Лесовосстановительные работы, охрану лесов, лесозаготовительную деятельность ведет АО «Дубровинский лесхоз», в котором работают лесопильный цех и питомник по выращиванию посадочного материала (сосна и кедр). Также проводятся противопожарные и лесозащитные мероприятия. </w:t>
      </w:r>
    </w:p>
    <w:p w:rsidR="00FA77EA" w:rsidRPr="00FA77EA" w:rsidRDefault="00FA77EA" w:rsidP="00FA7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Выработкой продовольственных товаров занимаются 9 пекарен 8-ми предприятий хлебопечения, 2 цеха кондитерских изделий.</w:t>
      </w:r>
    </w:p>
    <w:p w:rsidR="00FA77EA" w:rsidRPr="00FA77EA" w:rsidRDefault="00FA77EA" w:rsidP="00FA7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Наибольшую долю в общем объеме производства промышленной продукции </w:t>
      </w:r>
      <w:proofErr w:type="gramStart"/>
      <w:r w:rsidRPr="00FA77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  производство</w:t>
      </w:r>
      <w:proofErr w:type="gramEnd"/>
      <w:r w:rsidRPr="00FA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распределение электроэнергии, газа и  воды – 44,6%, производство пищевой продукции – 22,0%,  производство хлеба и х/б изделий – 7,9%,  производство строительных материалов и продукции лесной промышленности -  17,3%, прочие отрасли – 8,2%.     </w:t>
      </w:r>
    </w:p>
    <w:p w:rsidR="00FA77EA" w:rsidRPr="00FA77EA" w:rsidRDefault="00FA77EA" w:rsidP="00FA7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Производством и распределением электроэнергии, газа и воды занимаются 17 предприятий, из них наиболее крупные: МУП «</w:t>
      </w:r>
      <w:proofErr w:type="spellStart"/>
      <w:r w:rsidRPr="00FA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Теплосервис</w:t>
      </w:r>
      <w:proofErr w:type="spellEnd"/>
      <w:r w:rsidRPr="00FA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МУП «Коммунальное хозяйство», МУП «</w:t>
      </w:r>
      <w:proofErr w:type="spellStart"/>
      <w:r w:rsidRPr="00FA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Станционно-Ояшинское</w:t>
      </w:r>
      <w:proofErr w:type="spellEnd"/>
      <w:r w:rsidRPr="00FA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ЖКХ», МУП «Коммунальные сети». За год вырабатывается 89,2 тыс. Гкал </w:t>
      </w:r>
      <w:proofErr w:type="spellStart"/>
      <w:r w:rsidRPr="00FA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теплоэнергии</w:t>
      </w:r>
      <w:proofErr w:type="spellEnd"/>
      <w:r w:rsidRPr="00FA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добыча воды составляет 1,6 млн. куб. м.</w:t>
      </w:r>
    </w:p>
    <w:p w:rsidR="00FA77EA" w:rsidRPr="00FA77EA" w:rsidRDefault="00FA77EA" w:rsidP="00FA77EA">
      <w:pPr>
        <w:spacing w:after="0" w:line="240" w:lineRule="auto"/>
        <w:ind w:right="-6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77EA">
        <w:rPr>
          <w:rFonts w:ascii="Times New Roman" w:eastAsia="Calibri" w:hAnsi="Times New Roman" w:cs="Times New Roman"/>
          <w:sz w:val="28"/>
        </w:rPr>
        <w:t>Объем производства в обрабатывающих отраслях, где производятся строительные материалы, низковольтная аппаратура, металлоконструкции, пластиковые окна, развивается лесная, пищевая и перерабатывающая промышленности, составил 519,8 млн. руб., что на 5,0% больше соответствующего периода прошлого года.  Увеличилось производство горбыля на 22,0%, дров-</w:t>
      </w:r>
      <w:proofErr w:type="gramStart"/>
      <w:r w:rsidRPr="00FA77EA">
        <w:rPr>
          <w:rFonts w:ascii="Times New Roman" w:eastAsia="Calibri" w:hAnsi="Times New Roman" w:cs="Times New Roman"/>
          <w:sz w:val="28"/>
        </w:rPr>
        <w:t>чурок  на</w:t>
      </w:r>
      <w:proofErr w:type="gramEnd"/>
      <w:r w:rsidRPr="00FA77EA">
        <w:rPr>
          <w:rFonts w:ascii="Times New Roman" w:eastAsia="Calibri" w:hAnsi="Times New Roman" w:cs="Times New Roman"/>
          <w:sz w:val="28"/>
        </w:rPr>
        <w:t xml:space="preserve"> 28,0%, шпальной вырезки на 61,0%. </w:t>
      </w:r>
      <w:r w:rsidRPr="00FA7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Снизились объемы производства хлеба, хлебобулочных и кондитерских изделий в среднем на 3,4% из-за большой конкуренции. </w:t>
      </w:r>
    </w:p>
    <w:p w:rsidR="00FA77EA" w:rsidRPr="00FA77EA" w:rsidRDefault="00FA77EA" w:rsidP="00FA77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7EA">
        <w:rPr>
          <w:rFonts w:ascii="Times New Roman" w:eastAsia="Calibri" w:hAnsi="Times New Roman" w:cs="Times New Roman"/>
          <w:sz w:val="28"/>
          <w:szCs w:val="28"/>
        </w:rPr>
        <w:t>Промышленными предприятиями района за год получена прибыль 9,3 млн. руб.</w:t>
      </w:r>
      <w:r w:rsidRPr="00FA77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A77EA">
        <w:rPr>
          <w:rFonts w:ascii="Times New Roman" w:eastAsia="Calibri" w:hAnsi="Times New Roman" w:cs="Times New Roman"/>
          <w:sz w:val="28"/>
          <w:szCs w:val="28"/>
        </w:rPr>
        <w:t>(за 2023 год</w:t>
      </w:r>
      <w:r w:rsidRPr="00FA77EA"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 w:rsidRPr="00FA77EA">
        <w:rPr>
          <w:rFonts w:ascii="Times New Roman" w:eastAsia="Calibri" w:hAnsi="Times New Roman" w:cs="Times New Roman"/>
          <w:sz w:val="28"/>
          <w:szCs w:val="28"/>
        </w:rPr>
        <w:t xml:space="preserve"> 8,6 млн. руб.,) убыток 4,2 млн. руб. (за 2023 год – 3,1 млн. руб.).  Кредиторская задолженность на 01.01.2025 составляет 44,8 млн. руб., дебиторская задолженность – 24,9 млн. руб.</w:t>
      </w:r>
    </w:p>
    <w:p w:rsidR="00FA77EA" w:rsidRPr="00FA77EA" w:rsidRDefault="00FA77EA" w:rsidP="00FA7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BF6" w:rsidRDefault="000B0BF6"/>
    <w:sectPr w:rsidR="000B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A7"/>
    <w:rsid w:val="000B0BF6"/>
    <w:rsid w:val="00924C63"/>
    <w:rsid w:val="00DD2CA7"/>
    <w:rsid w:val="00E322D0"/>
    <w:rsid w:val="00FA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9959"/>
  <w15:chartTrackingRefBased/>
  <w15:docId w15:val="{824EFDD5-32D2-4729-B898-3EC95B37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Documents\&#1054;&#1090;&#1095;&#1077;&#1090;&#1099;\2024%20&#1075;&#1086;&#1076;%20-%20&#1086;&#1090;&#1095;&#1077;&#1090;&#1099;\&#1054;&#1090;&#1095;&#1077;&#1090;%20&#1079;&#1072;%202024%20&#1075;&#1086;&#1076;\&#1059;&#1090;&#1086;&#1095;&#1085;&#1077;&#1085;&#1085;&#1099;&#1077;%20&#1080;&#1090;&#1086;&#1075;&#1080;\&#1050;&#1085;&#1080;&#1075;&#1072;1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627E-2"/>
          <c:y val="0.14700199999999999"/>
          <c:w val="0.88337299999999996"/>
          <c:h val="0.7231290000000000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Лист6!$A$2</c:f>
              <c:strCache>
                <c:ptCount val="1"/>
                <c:pt idx="0">
                  <c:v>Объем промышленного производства, млн.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778000000000001E-2"/>
                  <c:y val="-0.2222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6F4-4B3D-BCF1-8FFCCAA94092}"/>
                </c:ext>
              </c:extLst>
            </c:dLbl>
            <c:dLbl>
              <c:idx val="1"/>
              <c:layout>
                <c:manualLayout>
                  <c:x val="3.6110999999999997E-2"/>
                  <c:y val="-0.370369999999999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6F4-4B3D-BCF1-8FFCCAA940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Лист6!$B$1:$C$1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Лист6!$B$2:$C$2</c:f>
              <c:numCache>
                <c:formatCode>General</c:formatCode>
                <c:ptCount val="2"/>
                <c:pt idx="0">
                  <c:v>869</c:v>
                </c:pt>
                <c:pt idx="1">
                  <c:v>918.6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6F4-4B3D-BCF1-8FFCCAA940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7877872"/>
        <c:axId val="257878264"/>
        <c:axId val="0"/>
      </c:bar3DChart>
      <c:catAx>
        <c:axId val="257877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57878264"/>
        <c:crosses val="autoZero"/>
        <c:auto val="1"/>
        <c:lblAlgn val="ctr"/>
        <c:lblOffset val="100"/>
        <c:noMultiLvlLbl val="0"/>
      </c:catAx>
      <c:valAx>
        <c:axId val="257878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7877872"/>
        <c:crosses val="autoZero"/>
        <c:crossBetween val="between"/>
      </c:valAx>
    </c:plotArea>
    <c:plotVisOnly val="1"/>
    <c:dispBlanksAs val="gap"/>
    <c:showDLblsOverMax val="0"/>
  </c:chart>
  <c:spPr>
    <a:xfrm>
      <a:off x="0" y="0"/>
      <a:ext cx="0" cy="0"/>
    </a:xfrm>
    <a:prstGeom prst="rect">
      <a:avLst/>
    </a:prstGeom>
    <a:gradFill>
      <a:gsLst>
        <a:gs pos="0">
          <a:schemeClr val="accent1">
            <a:lumMod val="5000"/>
            <a:lumOff val="95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</a:gra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">
    <a:dk1>
      <a:srgbClr val="000000"/>
    </a:dk1>
    <a:lt1>
      <a:srgbClr val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>
    <a:fillStyleLst>
      <a:solidFill>
        <a:schemeClr val="phClr"/>
      </a:solidFill>
      <a:gradFill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>
        <a:solidFill>
          <a:schemeClr val="phClr">
            <a:shade val="95000"/>
            <a:satMod val="105000"/>
          </a:schemeClr>
        </a:solidFill>
      </a:ln>
      <a:ln w="25400">
        <a:solidFill>
          <a:schemeClr val="phClr"/>
        </a:solidFill>
      </a:ln>
      <a:ln w="38100">
        <a:solidFill>
          <a:schemeClr val="phClr"/>
        </a:solidFill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solidFill>
        <a:srgbClr val="000000"/>
      </a:solidFill>
      <a:solidFill>
        <a:srgbClr val="000000"/>
      </a:soli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2025-03-03T03:29:00Z</dcterms:created>
  <dcterms:modified xsi:type="dcterms:W3CDTF">2025-03-03T03:33:00Z</dcterms:modified>
</cp:coreProperties>
</file>