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818D5" w:rsidRPr="00C818D5" w:rsidTr="008B11C9">
        <w:trPr>
          <w:jc w:val="center"/>
        </w:trPr>
        <w:tc>
          <w:tcPr>
            <w:tcW w:w="9355" w:type="dxa"/>
          </w:tcPr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18D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205C4837" wp14:editId="0F4B36AF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8D5" w:rsidRPr="00C818D5" w:rsidTr="008B11C9">
        <w:trPr>
          <w:jc w:val="center"/>
        </w:trPr>
        <w:tc>
          <w:tcPr>
            <w:tcW w:w="9355" w:type="dxa"/>
          </w:tcPr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8D5" w:rsidRPr="00C818D5" w:rsidTr="008B11C9">
        <w:trPr>
          <w:jc w:val="center"/>
        </w:trPr>
        <w:tc>
          <w:tcPr>
            <w:tcW w:w="9355" w:type="dxa"/>
          </w:tcPr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МОШКОВСКОГО РАЙОНА</w:t>
            </w:r>
          </w:p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C818D5" w:rsidRPr="00C818D5" w:rsidTr="008B11C9">
        <w:trPr>
          <w:jc w:val="center"/>
        </w:trPr>
        <w:tc>
          <w:tcPr>
            <w:tcW w:w="9355" w:type="dxa"/>
          </w:tcPr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8D5" w:rsidRPr="00C818D5" w:rsidTr="008B11C9">
        <w:trPr>
          <w:jc w:val="center"/>
        </w:trPr>
        <w:tc>
          <w:tcPr>
            <w:tcW w:w="9355" w:type="dxa"/>
          </w:tcPr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18D5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C818D5" w:rsidRPr="00C818D5" w:rsidTr="008B11C9">
        <w:trPr>
          <w:jc w:val="center"/>
        </w:trPr>
        <w:tc>
          <w:tcPr>
            <w:tcW w:w="9355" w:type="dxa"/>
          </w:tcPr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8D5" w:rsidRPr="00C818D5" w:rsidTr="008B11C9">
        <w:trPr>
          <w:jc w:val="center"/>
        </w:trPr>
        <w:tc>
          <w:tcPr>
            <w:tcW w:w="9355" w:type="dxa"/>
          </w:tcPr>
          <w:tbl>
            <w:tblPr>
              <w:tblStyle w:val="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818D5" w:rsidRPr="00C818D5" w:rsidTr="006B12BA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C818D5" w:rsidRPr="00C818D5" w:rsidRDefault="00C818D5" w:rsidP="00C818D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18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C818D5" w:rsidRPr="00C818D5" w:rsidRDefault="001C7339" w:rsidP="00C818D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25.10.2024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C818D5" w:rsidRPr="00C818D5" w:rsidRDefault="00C818D5" w:rsidP="00C818D5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18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C818D5" w:rsidRPr="00C818D5" w:rsidRDefault="001C7339" w:rsidP="00C818D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124</w:t>
                  </w:r>
                </w:p>
              </w:tc>
            </w:tr>
          </w:tbl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8D5" w:rsidRPr="00C818D5" w:rsidTr="008B11C9">
        <w:trPr>
          <w:jc w:val="center"/>
        </w:trPr>
        <w:tc>
          <w:tcPr>
            <w:tcW w:w="9355" w:type="dxa"/>
          </w:tcPr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818D5" w:rsidRPr="00C818D5" w:rsidTr="008B11C9">
        <w:trPr>
          <w:jc w:val="center"/>
        </w:trPr>
        <w:tc>
          <w:tcPr>
            <w:tcW w:w="9355" w:type="dxa"/>
          </w:tcPr>
          <w:p w:rsidR="00C818D5" w:rsidRPr="00C818D5" w:rsidRDefault="00C818D5" w:rsidP="00CF28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основных направлениях </w:t>
            </w:r>
            <w:r w:rsidR="00DB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долговой </w:t>
            </w:r>
            <w:r w:rsidRPr="00C81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 в Мошковском районе Новосибирской области на 202</w:t>
            </w:r>
            <w:r w:rsidR="00CF2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1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CF2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81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202</w:t>
            </w:r>
            <w:r w:rsidR="00CF2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1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C818D5" w:rsidRPr="00C818D5" w:rsidTr="008B11C9">
        <w:trPr>
          <w:jc w:val="center"/>
        </w:trPr>
        <w:tc>
          <w:tcPr>
            <w:tcW w:w="9355" w:type="dxa"/>
          </w:tcPr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8D5" w:rsidRPr="00C818D5" w:rsidRDefault="00C818D5" w:rsidP="00C81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D5" w:rsidRPr="00320FB4" w:rsidRDefault="00C818D5" w:rsidP="00C818D5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7851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пунктом 13 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</w:t>
      </w:r>
      <w:r w:rsidR="00785136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5136">
        <w:rPr>
          <w:rFonts w:ascii="Times New Roman" w:eastAsia="Times New Roman" w:hAnsi="Times New Roman" w:cs="Times New Roman"/>
          <w:sz w:val="28"/>
          <w:szCs w:val="20"/>
          <w:lang w:eastAsia="ru-RU"/>
        </w:rPr>
        <w:t>107.1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Бюджетного кодекса Российской Федерации и Положением о бюджетном процессе в Мошковском районе Новосибирской области</w:t>
      </w:r>
      <w:r w:rsidRPr="00320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0FB4" w:rsidRPr="00320FB4">
        <w:rPr>
          <w:rFonts w:ascii="Times New Roman" w:hAnsi="Times New Roman" w:cs="Times New Roman"/>
          <w:sz w:val="28"/>
          <w:szCs w:val="28"/>
        </w:rPr>
        <w:t>утвержденным решением 23 сессии Совета депутатов Мошковского района № 206 от 27 декабря 2022 года</w:t>
      </w:r>
    </w:p>
    <w:p w:rsidR="00C818D5" w:rsidRPr="00320FB4" w:rsidRDefault="00C818D5" w:rsidP="00C818D5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818D5" w:rsidRPr="00C818D5" w:rsidRDefault="00C818D5" w:rsidP="00C818D5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Утвердить </w:t>
      </w:r>
      <w:r w:rsidR="00AE0F1C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сновные направления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долговой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политики Мошковского района Новосибирской области на 202</w:t>
      </w:r>
      <w:r w:rsidR="00CF28B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202</w:t>
      </w:r>
      <w:r w:rsidR="00CF28BC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202</w:t>
      </w:r>
      <w:r w:rsidR="00CF28B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(далее – Основные направления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долговой 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политики)</w:t>
      </w:r>
      <w:r w:rsidR="00AE0F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(Приложение)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818D5" w:rsidRPr="00C818D5" w:rsidRDefault="00C818D5" w:rsidP="00C818D5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Рекомендовать главам муниципальных образований поселений Мошковского района</w:t>
      </w:r>
      <w:r w:rsidR="00AE0F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подготовке проектов местного бюджета на 202</w:t>
      </w:r>
      <w:r w:rsidR="00CF28B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202</w:t>
      </w:r>
      <w:r w:rsidR="00CF28BC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202</w:t>
      </w:r>
      <w:r w:rsidR="00CF28B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учитывать Основные направления </w:t>
      </w:r>
      <w:r w:rsidR="0078513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долговой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политики.</w:t>
      </w:r>
    </w:p>
    <w:p w:rsidR="00C818D5" w:rsidRPr="00C818D5" w:rsidRDefault="00C818D5" w:rsidP="00C818D5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C81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Контроль за исполнением настоящего постановления возложить на заместителя главы администрации Мошковского района Новосибирской области </w:t>
      </w:r>
      <w:r w:rsidR="006E073A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Бараника А.А.</w:t>
      </w:r>
    </w:p>
    <w:p w:rsidR="00C818D5" w:rsidRPr="00C818D5" w:rsidRDefault="00C818D5" w:rsidP="00C818D5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C818D5" w:rsidRPr="00C818D5" w:rsidTr="006B12BA">
        <w:trPr>
          <w:trHeight w:val="1304"/>
        </w:trPr>
        <w:tc>
          <w:tcPr>
            <w:tcW w:w="4926" w:type="dxa"/>
            <w:vAlign w:val="bottom"/>
          </w:tcPr>
          <w:p w:rsidR="00C818D5" w:rsidRPr="00C818D5" w:rsidRDefault="00531C5B" w:rsidP="00C818D5">
            <w:pPr>
              <w:ind w:right="-144" w:hanging="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C818D5" w:rsidRPr="00C818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</w:t>
            </w:r>
            <w:r w:rsidR="000648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C818D5" w:rsidRPr="00C818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Мошковского района</w:t>
            </w:r>
          </w:p>
          <w:p w:rsidR="00C818D5" w:rsidRPr="00C818D5" w:rsidRDefault="00C818D5" w:rsidP="00C818D5">
            <w:pPr>
              <w:ind w:right="-144" w:hanging="1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18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  <w:r w:rsidR="007851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4927" w:type="dxa"/>
            <w:vAlign w:val="bottom"/>
          </w:tcPr>
          <w:p w:rsidR="00C818D5" w:rsidRDefault="00C818D5" w:rsidP="00C818D5">
            <w:pPr>
              <w:ind w:right="-14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818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</w:t>
            </w:r>
          </w:p>
          <w:p w:rsidR="00C818D5" w:rsidRPr="00C818D5" w:rsidRDefault="00785136" w:rsidP="00012EB6">
            <w:pPr>
              <w:ind w:right="-14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</w:t>
            </w:r>
            <w:r w:rsidR="000648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012E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С.Н.</w:t>
            </w:r>
            <w:r w:rsidR="005F4E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012E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Субботин</w:t>
            </w:r>
          </w:p>
        </w:tc>
      </w:tr>
    </w:tbl>
    <w:p w:rsidR="00C818D5" w:rsidRDefault="00CE769A" w:rsidP="00C818D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C818D5" w:rsidRDefault="00C818D5" w:rsidP="00C818D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18D5" w:rsidRDefault="00C818D5" w:rsidP="00C818D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18D5" w:rsidRDefault="00C818D5" w:rsidP="00C818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B11C9" w:rsidRDefault="008B11C9" w:rsidP="00C818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B11C9" w:rsidRDefault="008B11C9" w:rsidP="00C818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1C5B" w:rsidRDefault="00531C5B" w:rsidP="00785136">
      <w:pPr>
        <w:shd w:val="clear" w:color="auto" w:fill="FFFFFF"/>
        <w:tabs>
          <w:tab w:val="left" w:pos="867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1C5B" w:rsidRDefault="00531C5B" w:rsidP="00785136">
      <w:pPr>
        <w:shd w:val="clear" w:color="auto" w:fill="FFFFFF"/>
        <w:tabs>
          <w:tab w:val="left" w:pos="867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1C5B" w:rsidRDefault="00531C5B" w:rsidP="00785136">
      <w:pPr>
        <w:shd w:val="clear" w:color="auto" w:fill="FFFFFF"/>
        <w:tabs>
          <w:tab w:val="left" w:pos="867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1C5B" w:rsidRDefault="00531C5B" w:rsidP="00785136">
      <w:pPr>
        <w:shd w:val="clear" w:color="auto" w:fill="FFFFFF"/>
        <w:tabs>
          <w:tab w:val="left" w:pos="867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31C5B" w:rsidRDefault="00531C5B" w:rsidP="00785136">
      <w:pPr>
        <w:shd w:val="clear" w:color="auto" w:fill="FFFFFF"/>
        <w:tabs>
          <w:tab w:val="left" w:pos="867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0C3B" w:rsidRDefault="00CC0C3B" w:rsidP="00CC0C3B">
      <w:pPr>
        <w:shd w:val="clear" w:color="auto" w:fill="FFFFFF"/>
        <w:tabs>
          <w:tab w:val="left" w:pos="867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</w:t>
      </w:r>
    </w:p>
    <w:p w:rsidR="00CC0C3B" w:rsidRDefault="00CC0C3B" w:rsidP="00CC0C3B">
      <w:pPr>
        <w:shd w:val="clear" w:color="auto" w:fill="FFFFFF"/>
        <w:tabs>
          <w:tab w:val="left" w:pos="867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к постановлению администрации</w:t>
      </w:r>
    </w:p>
    <w:p w:rsidR="00CC0C3B" w:rsidRDefault="00CC0C3B" w:rsidP="00CC0C3B">
      <w:pPr>
        <w:shd w:val="clear" w:color="auto" w:fill="FFFFFF"/>
        <w:tabs>
          <w:tab w:val="left" w:pos="867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Мошковского района Новосибирской </w:t>
      </w:r>
    </w:p>
    <w:p w:rsidR="00CC0C3B" w:rsidRDefault="00CC0C3B" w:rsidP="00CC0C3B">
      <w:pPr>
        <w:shd w:val="clear" w:color="auto" w:fill="FFFFFF"/>
        <w:tabs>
          <w:tab w:val="left" w:pos="867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области</w:t>
      </w:r>
    </w:p>
    <w:p w:rsidR="00CC0C3B" w:rsidRDefault="00CC0C3B" w:rsidP="00CC0C3B">
      <w:pPr>
        <w:shd w:val="clear" w:color="auto" w:fill="FFFFFF"/>
        <w:tabs>
          <w:tab w:val="left" w:pos="7797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от </w:t>
      </w:r>
      <w:r w:rsidR="001C73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25.10.2024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№ </w:t>
      </w:r>
      <w:r w:rsidR="001C73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CC0C3B" w:rsidRDefault="00CC0C3B" w:rsidP="00CC0C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0C3B" w:rsidRDefault="00CC0C3B" w:rsidP="00CC0C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0C3B" w:rsidRDefault="00CC0C3B" w:rsidP="00CC0C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0C3B" w:rsidRDefault="00CC0C3B" w:rsidP="00CC0C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ОСНОВНЫЕ НАПРАВЛЕНИЯ</w:t>
      </w:r>
    </w:p>
    <w:p w:rsidR="00CC0C3B" w:rsidRDefault="00CC0C3B" w:rsidP="00CC0C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долговой политики Мошковского района Новосибирской области на 202</w:t>
      </w:r>
      <w:r w:rsidR="00DE210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год и плановый период 202</w:t>
      </w:r>
      <w:r w:rsidR="00DE210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-202</w:t>
      </w:r>
      <w:r w:rsidR="00DE210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годов</w:t>
      </w:r>
    </w:p>
    <w:p w:rsidR="00CC0C3B" w:rsidRDefault="00CC0C3B" w:rsidP="00CC0C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Долговая политика Мошковского района Новосибирской области разработана в единстве с налоговой и бюджетной политикой Мошковского района Новосибирской области в целях обеспечения сбалансированности бюджета Мошковского района Новосибирской области на 202</w:t>
      </w:r>
      <w:r w:rsidR="00DE2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 и плановый период 202</w:t>
      </w:r>
      <w:r w:rsidR="00DE2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202</w:t>
      </w:r>
      <w:r w:rsidR="00DE2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годов с учетом рекомендаций Министерства финансов и налоговой политики Новосибирской области по проведению муниципальными образованиями Новосибирской области ответственной долговой политики.</w:t>
      </w:r>
    </w:p>
    <w:p w:rsidR="00CC0C3B" w:rsidRDefault="00CC0C3B" w:rsidP="00CC0C3B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0C3B" w:rsidRDefault="00CC0C3B" w:rsidP="00CC0C3B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Итоги реализации долговой политики предыдущего периода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заемных средств в местный бюджет Мошковского района Новосибирской области (далее – местный бюджет) осуществляется для погашения долговых обязательств Мошковского района Новосибирской области и покрытия кассового разрыва местного бюджета в целях обеспечения его сбалансированности. Объем и структура муниципального долга Мошковского района Новосибирской области (млн. руб.) </w:t>
      </w:r>
    </w:p>
    <w:tbl>
      <w:tblPr>
        <w:tblStyle w:val="a3"/>
        <w:tblW w:w="8039" w:type="dxa"/>
        <w:tblLook w:val="04A0" w:firstRow="1" w:lastRow="0" w:firstColumn="1" w:lastColumn="0" w:noHBand="0" w:noVBand="1"/>
      </w:tblPr>
      <w:tblGrid>
        <w:gridCol w:w="1963"/>
        <w:gridCol w:w="1201"/>
        <w:gridCol w:w="1201"/>
        <w:gridCol w:w="1306"/>
        <w:gridCol w:w="1232"/>
        <w:gridCol w:w="1136"/>
      </w:tblGrid>
      <w:tr w:rsidR="00DE2100" w:rsidTr="00DE2100">
        <w:trPr>
          <w:trHeight w:val="57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0" w:rsidRDefault="00DE2100" w:rsidP="00CC7A2C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100" w:rsidRPr="001B0337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</w:tr>
      <w:tr w:rsidR="00DE2100" w:rsidTr="00DE2100">
        <w:trPr>
          <w:trHeight w:val="84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00" w:rsidRDefault="00DE2100" w:rsidP="00CC7A2C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100" w:rsidRDefault="00656476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E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00" w:rsidRDefault="00DE2100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100" w:rsidRDefault="00656476" w:rsidP="00CC7A2C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C3B" w:rsidRDefault="00CC0C3B" w:rsidP="00CC0C3B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0"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Состояние муниципального долга Мошковского района Новосибирской области и реализация долговой политики в 202</w:t>
      </w:r>
      <w:r w:rsidR="00DE210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году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Сдержанная долговая политика Мошковского района Новосибирской области, направленная на стабилизацию объема муниципального долга Мошковского района Новосибирской области (далее- муниципальный долг), способствует постепенному решению задачи по снижению уровня долговой нагрузки. В 2022 году муниципальный долг погашен в сумме </w:t>
      </w:r>
      <w:r w:rsidR="006564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11,0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млн. рублей, в том числе погашение кредитов от кредитных организаций </w:t>
      </w:r>
      <w:r w:rsidR="006564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11,0 млн. рублей. В 2023 году 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 9 месяцев 202</w:t>
      </w:r>
      <w:r w:rsidR="006564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года </w:t>
      </w:r>
      <w:r w:rsidR="006564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заемные средства не привлекались. 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 01 января 2022 объем муниципального долга составил 50,48 млн. рублей, на 01 января 2023 года размер муниципального долга составил 11,0 млн. рублей, </w:t>
      </w:r>
      <w:r w:rsidR="006564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01 января 2024 года 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01 октября 202</w:t>
      </w:r>
      <w:r w:rsidR="006564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года муниципальный долг </w:t>
      </w:r>
      <w:r w:rsidR="0065647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</w:p>
    <w:p w:rsidR="001F52AC" w:rsidRDefault="001F52AC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0C3B" w:rsidRDefault="00CC0C3B" w:rsidP="00CC0C3B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lastRenderedPageBreak/>
        <w:t>Основные факторы, определяющие характер и направления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br/>
        <w:t>долговой политики Мошковского райо</w:t>
      </w:r>
      <w:r w:rsidR="0025020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на Новосибирской области на 2025-2027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годы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Основными факторами, определяющими характер и направления долговой политики Мошковского района Новосибирской области на          202</w:t>
      </w:r>
      <w:r w:rsidR="002502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-202</w:t>
      </w:r>
      <w:r w:rsidR="002502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годы, являются: влияние рисков нестабильной экономической ситуации, сохранения неустойчивости мировой экономики на возможность осуществления рыночных заимствований в необходимых объемах по стоимости, не превышающей ограничения, установленные условиями Соглашений, сохранение действий финансовых и экономических санкций в отношении российской экономики, а также ответных мер;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изменчивость финансовой конъюнктуры, обусловленная неустойчивым экономическим ростом и внешнеполитическими факторами.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Приоритеты долговой политики, сложившиеся в 202</w:t>
      </w:r>
      <w:r w:rsidR="002502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-202</w:t>
      </w:r>
      <w:r w:rsidR="00C17BA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годах, будут сохранены.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Долговая политика заключается в реализации комплекса мер, направленных на обеспечение потребностей публично-правового образования в заемном финансировании, своевременное и полное исполнение обязательств по погашению и обслуживанию муниципального долга Мошковского района Новосибирской области минимизацию расходов на обслуживание муниципального долга, поддержание объема и структуры долговых обязательств, исключающих их неисполнение.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целях обеспечения стабильного исполнения бюджета Мошковского района Новосибирской области, повышения кредитного рейтинга, характеризующего Мошковский район Новосибирской области как надежного заемщика, своевременно выполняющего долговые обязательства, Мошковский район Новосибирской области в 202</w:t>
      </w:r>
      <w:r w:rsidR="002502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году и плановом периодах 202</w:t>
      </w:r>
      <w:r w:rsidR="002502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-202</w:t>
      </w:r>
      <w:r w:rsidR="002502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годах будет проводить взвешенную долговую политику, направленную на оптимизацию (минимизацию) объема муниципального долга.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C0C3B" w:rsidRDefault="00CC0C3B" w:rsidP="00CC0C3B">
      <w:pPr>
        <w:pStyle w:val="a6"/>
        <w:numPr>
          <w:ilvl w:val="0"/>
          <w:numId w:val="2"/>
        </w:numPr>
        <w:shd w:val="clear" w:color="auto" w:fill="FFFFFF"/>
        <w:spacing w:after="0" w:line="315" w:lineRule="atLeast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Цели и задачи долговой политики на 202</w:t>
      </w:r>
      <w:r w:rsidR="00C17BA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-202</w:t>
      </w:r>
      <w:r w:rsidR="00C17BA3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годы, инструменты ее реализации. Анализ рисков для бюджета, возникающих в процессе управления муниципальным долгом Мошковского района Новосибирской области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4.1. Целями долговой политики</w:t>
      </w:r>
      <w:r w:rsidR="00C17BA3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17BA3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как и прошлые периоды,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являются: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4.1.1. Сохранение объема муниципального долга Мошковского района Новосибирской области на безопасном уровне;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4.1.2. Равномерное распределение долговой нагрузки по годам;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4.1.3. Обеспечение сохранения дефицита местного бюджета на уровне не более 10 % от суммы доходов бюджета без учета безвозмездных поступлений в соответствии со статьей 92.1 Бюджетного кодекса Российской Федерации;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4.1.4. Минимизация стоимости обслуживания муниципального долга;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4.1.5. Безусловное выполнение долговых обязательств;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4.1.6. Соблюдение ограничений, установленных Бюджетным кодексом Российской Федерации.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 Для достижения поставленных целей необходимо решить следующие задачи: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4.2.1. Поддержание муниципального долга Мошковского района Новосибирской области в объеме, обеспечивающем возможность гарантированного выполнения всех обязательств, и неукоснительное соблюдение требований, установленных бюджетным законодательством;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4.2.2. Распределение долговой нагрузки на Мошковский район Новосибирской области с целью обеспечения ежемесячной сбалансированности бюджета Мошковского района Новосибирской области;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4.2.3. Обеспечение взаимосвязи принятия решения о заимствованиях с реальными потребностями бюджета Мошковского района Новосибирской области в привлечении заемных средств;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4.2.4. Обеспечение своевременного и полного учета долговых обязательств;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4.2.5. Использование механизмов оперативного управления долговыми обязательствами Мошковского района Новосибирской области;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4.2.6. Сокращение объема заимствований с учетом результатов исполнения бюджета Мошковского района Новосибирской области;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4.2.7. Соблюдение ограничений, установленных Бюджетным кодексом Российской Федерации;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4.2.8. Обеспечение открытости (прозрачности) информации о муниципальном долге Мошковского района Новосибирской области;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4.2.9. Ограничение роста расходов местного бюджета, не обеспеченных стабильными доходными источниками;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4.2.10. Оптимизация структуры муниципального долга;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4.2.11. Минимизация расходов на обслуживание муниципального долга;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4.2.12. последовательное снижение долговой нагрузки на бюджет Мошковского района Новосибирской области.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4.3. В целях определения оптимального набора инструментов заимствований, а также благоприятных для привлечения заемных ресурсов необходим анализ рисков и определение предполагаемой стоимости заимствований.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Важная роль отводится ответственному планированию долговых обязательств, а также расходов, связанных с их привлечением и обслуживанием. Планирование 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бюджета Мошковского района Новосибирской области, утвержденной Постановлением администрации Мошковского района Новосибирской </w:t>
      </w:r>
      <w:r w:rsidRPr="00D3194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области от 04.08.2016 N 97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«Об утверждении Методики прогнозирования поступлений по источникам финансирования дефицита бюджета Мошковского района Новосибирской области».</w:t>
      </w:r>
    </w:p>
    <w:p w:rsidR="00CC0C3B" w:rsidRDefault="00CC0C3B" w:rsidP="00CC0C3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Привлечение в бюджет Мошковского района Новосибирской области кредитов от кредитных организаций будет осуществляться в соответствии с условиями заключенных Соглашений.</w:t>
      </w:r>
    </w:p>
    <w:p w:rsidR="00CC0C3B" w:rsidRDefault="00CC0C3B" w:rsidP="006E5B2C">
      <w:pPr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долговой политики направлена на обеспечение выполнения принятых долговых обязательств в среднесрочные и долгосрочные перспективы при наименьших затратах и разумной степени риска.</w:t>
      </w:r>
    </w:p>
    <w:p w:rsidR="00CC0C3B" w:rsidRDefault="00CC0C3B" w:rsidP="00785136">
      <w:pPr>
        <w:shd w:val="clear" w:color="auto" w:fill="FFFFFF"/>
        <w:tabs>
          <w:tab w:val="left" w:pos="8670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sectPr w:rsidR="00CC0C3B" w:rsidSect="00531C5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55CB7"/>
    <w:multiLevelType w:val="hybridMultilevel"/>
    <w:tmpl w:val="9DC03B58"/>
    <w:lvl w:ilvl="0" w:tplc="DA28C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9A"/>
    <w:rsid w:val="00012EB6"/>
    <w:rsid w:val="000465D2"/>
    <w:rsid w:val="000648F9"/>
    <w:rsid w:val="00140912"/>
    <w:rsid w:val="001C6C77"/>
    <w:rsid w:val="001C7339"/>
    <w:rsid w:val="001E05F2"/>
    <w:rsid w:val="001E1BB5"/>
    <w:rsid w:val="001F52AC"/>
    <w:rsid w:val="00205A3A"/>
    <w:rsid w:val="00246F9A"/>
    <w:rsid w:val="00250205"/>
    <w:rsid w:val="00252C0C"/>
    <w:rsid w:val="00315B37"/>
    <w:rsid w:val="00320FB4"/>
    <w:rsid w:val="003B1445"/>
    <w:rsid w:val="003D012F"/>
    <w:rsid w:val="00504B08"/>
    <w:rsid w:val="00531C5B"/>
    <w:rsid w:val="00536CD3"/>
    <w:rsid w:val="00573749"/>
    <w:rsid w:val="005859CE"/>
    <w:rsid w:val="005B411F"/>
    <w:rsid w:val="005F4ED3"/>
    <w:rsid w:val="00656476"/>
    <w:rsid w:val="006E073A"/>
    <w:rsid w:val="006E5B2C"/>
    <w:rsid w:val="006F2154"/>
    <w:rsid w:val="00785136"/>
    <w:rsid w:val="007B3E7E"/>
    <w:rsid w:val="007B74A9"/>
    <w:rsid w:val="007C6C1E"/>
    <w:rsid w:val="008214B9"/>
    <w:rsid w:val="00826E5C"/>
    <w:rsid w:val="00887158"/>
    <w:rsid w:val="008B11C9"/>
    <w:rsid w:val="008D543A"/>
    <w:rsid w:val="009642E7"/>
    <w:rsid w:val="00973011"/>
    <w:rsid w:val="009B1278"/>
    <w:rsid w:val="00A51F07"/>
    <w:rsid w:val="00A97F66"/>
    <w:rsid w:val="00AE0F1C"/>
    <w:rsid w:val="00B60662"/>
    <w:rsid w:val="00B8135E"/>
    <w:rsid w:val="00BE7578"/>
    <w:rsid w:val="00C17BA3"/>
    <w:rsid w:val="00C637A6"/>
    <w:rsid w:val="00C818D5"/>
    <w:rsid w:val="00CC0C3B"/>
    <w:rsid w:val="00CC7C74"/>
    <w:rsid w:val="00CE769A"/>
    <w:rsid w:val="00CF1B63"/>
    <w:rsid w:val="00CF28BC"/>
    <w:rsid w:val="00D0016F"/>
    <w:rsid w:val="00D73648"/>
    <w:rsid w:val="00DA43A2"/>
    <w:rsid w:val="00DB1DB7"/>
    <w:rsid w:val="00DE12BD"/>
    <w:rsid w:val="00DE2100"/>
    <w:rsid w:val="00DE3545"/>
    <w:rsid w:val="00E0641C"/>
    <w:rsid w:val="00E1163C"/>
    <w:rsid w:val="00ED6C61"/>
    <w:rsid w:val="00F61D6C"/>
    <w:rsid w:val="00FA1FA8"/>
    <w:rsid w:val="00F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135D3-90E1-4A54-9FC2-A443780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8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1C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E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14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391782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72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8B7E-0E61-470F-AB16-90AB7903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bolshakova_en</dc:creator>
  <cp:keywords/>
  <dc:description/>
  <cp:lastModifiedBy>User</cp:lastModifiedBy>
  <cp:revision>4</cp:revision>
  <cp:lastPrinted>2024-10-16T02:17:00Z</cp:lastPrinted>
  <dcterms:created xsi:type="dcterms:W3CDTF">2024-10-18T03:58:00Z</dcterms:created>
  <dcterms:modified xsi:type="dcterms:W3CDTF">2024-10-25T02:34:00Z</dcterms:modified>
</cp:coreProperties>
</file>