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Мошково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Субботин С.Н.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Балабаев</w:t>
      </w:r>
      <w:r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Бараник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Дарнев</w:t>
      </w:r>
      <w:r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Радченко О.В.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Рибчинская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Нарушевич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Полтанович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Шумских В.Г.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организации и функционирования 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комплаенса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доклада «Об антимонопольном </w:t>
      </w:r>
      <w:r>
        <w:rPr>
          <w:rFonts w:ascii="Times New Roman" w:hAnsi="Times New Roman" w:cs="Times New Roman"/>
          <w:sz w:val="28"/>
          <w:szCs w:val="28"/>
        </w:rPr>
        <w:t xml:space="preserve">комплаенсе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ind w:left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84"/>
        <w:jc w:val="both"/>
        <w:shd w:val="clear" w:color="auto" w:fill="ffffff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Доклад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об организации системы внутреннего обеспечения соответствия требованиям антимонопольного законодательства в администрации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Мошковского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 района за 20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3 год (прилагается)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Выступили: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Радченко О.В.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настоящее время в администрации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Мошковского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осуществлено внедрение системы внутреннего обеспечения соответствия требованиям антимонопольного законодательства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Разработаны все необходимые нормативные документы, проводятся запланированные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снижению </w:t>
      </w:r>
      <w:r>
        <w:rPr>
          <w:rFonts w:ascii="Times New Roman" w:hAnsi="Times New Roman" w:cs="Times New Roman"/>
          <w:sz w:val="28"/>
          <w:szCs w:val="28"/>
        </w:rPr>
        <w:t xml:space="preserve">комплаенс</w:t>
      </w:r>
      <w:r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Анализируя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выполнение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ключевы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эффективности антимонопольного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комплаенса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сказать, что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антимонопольного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комплаенса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показала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хорошие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результаты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Наряду с положительными результатами необходимо отметить, что один из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ключевых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эффективности антимонопольного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компланса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2023 году, также как и в 2022 году не выполнен - </w:t>
      </w:r>
      <w:r>
        <w:rPr>
          <w:rFonts w:ascii="Times New Roman" w:hAnsi="Times New Roman" w:cs="Times New Roman"/>
          <w:i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связи с этим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поставить свою работу в 2024 году так, что</w:t>
      </w:r>
      <w:r>
        <w:rPr>
          <w:rFonts w:ascii="Times New Roman" w:hAnsi="Times New Roman" w:cs="Times New Roman"/>
          <w:sz w:val="28"/>
          <w:szCs w:val="28"/>
        </w:rPr>
        <w:t xml:space="preserve">бы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нарушений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 антимонопольном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комплаенсе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администрации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Мошковского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20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 год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принять к сведению и утвердить.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С.Н.Субботин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С.Б.Тихонова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PT Serif" w:hAnsi="PT Serif" w:eastAsia="Times New Roman" w:cs="Times New Roman"/>
          <w:color w:val="222222"/>
          <w:sz w:val="24"/>
          <w:szCs w:val="24"/>
          <w:lang w:eastAsia="ru-RU"/>
        </w:rPr>
        <w:t xml:space="preserve">Утвержден</w:t>
      </w:r>
      <w:r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  <w:t xml:space="preserve">Решением Совета по инвестициям</w:t>
      </w:r>
      <w:r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PT Serif" w:hAnsi="PT Serif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PT Serif" w:hAnsi="PT Serif" w:eastAsia="Times New Roman" w:cs="Times New Roman"/>
          <w:color w:val="222222"/>
          <w:sz w:val="24"/>
          <w:szCs w:val="24"/>
          <w:highlight w:val="none"/>
          <w:lang w:eastAsia="ru-RU"/>
        </w:rPr>
        <w:t xml:space="preserve">от 11 марта 2024 г.</w:t>
      </w:r>
      <w:r>
        <w:rPr>
          <w:rFonts w:ascii="PT Serif" w:hAnsi="PT Serif" w:eastAsia="Times New Roman" w:cs="Times New Roman"/>
          <w:color w:val="222222"/>
          <w:sz w:val="24"/>
          <w:szCs w:val="24"/>
          <w:lang w:eastAsia="ru-RU"/>
        </w:rPr>
      </w:r>
      <w:r>
        <w:rPr>
          <w:rFonts w:ascii="PT Serif" w:hAnsi="PT Serif" w:eastAsia="Times New Roman" w:cs="Times New Roman"/>
          <w:color w:val="222222"/>
          <w:sz w:val="24"/>
          <w:szCs w:val="24"/>
          <w:lang w:eastAsia="ru-RU"/>
        </w:rPr>
      </w:r>
    </w:p>
    <w:p>
      <w:pPr>
        <w:ind w:firstLine="284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Доклад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ind w:firstLine="284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Мошковского района Новосибирской области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за 20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3 год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</w:p>
    <w:p>
      <w:pPr>
        <w:ind w:firstLine="284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pStyle w:val="836"/>
        <w:ind w:left="1260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ind w:left="284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Во исполнение Указа Президента Российской Федерации от 21 декабря 2017 года № 618 «Об основных направлениях государственной политики по развитию конкуренции»,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Прави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Мошковского района новосибирской области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от 08.07.2019 № 843-па «О системе внутреннего обеспечения соответствия требованиям антимонопольного законодательства в администрации Мошковского района Новосибирской области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соблюдения антимонопольного законодательства и профилактики его нарушений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система внутреннего обеспечения соответствия требованиям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Антимонопольный комплаенс - это совокупность правовых и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мер, направленных на соблюдение антимонопольного законодательства и предупреждение его нарушения.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антимонопольного комплаенса: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рисков нарушения антимонопольного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управление рисками нарушения антимонопольного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контроль за соответствием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антимонопольного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комплаенса.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В целях обеспечения открытости и доступа к информации на официальном сайте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в разделе «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Антимонопольный комплаенс»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0" w:tooltip="https://moshkovo.nso.ru/page/3965" w:history="1">
        <w:r>
          <w:rPr>
            <w:rStyle w:val="844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https://moshkovo.nso.ru/page/3965</w:t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размещена вся информация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 системе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антимонопольно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комплаенс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Анализ выявленных нарушений антимонопольного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законодательства в деятельности администрации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выявления комплаенс-рисков уполномоченным подразделением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проведен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анализ выявленных нарушений антимонопольного законодательства в деятельности администрации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год (наличие предостережений, предупреждений, штрафов, жалоб, возбужденных дел);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анализ нормативных правовых актов администрации, а также правовых,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конкуренции и адресованных неопределенному кругу лиц, которые могут иметь признаки нарушения антимонопольного законодательства;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анализ проектов нормативных правовых актов администрации;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мониторинг и анализ практики применения администрацией антимонопольного законодательства;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По результатам проведенного анализа установлено следующее: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both"/>
        <w:tabs>
          <w:tab w:val="left" w:pos="-142" w:leader="none"/>
        </w:tabs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Проведен анализ информации о наличии (отсутствии) нарушений антимонопольного законодательства в деятельности Администрации (предостережений, предупреждений, штрафов, жалоб, возбужденных дел) за период 2023 года, представленной структурными подразделе</w:t>
      </w:r>
      <w:r>
        <w:rPr>
          <w:rFonts w:ascii="Times New Roman" w:hAnsi="Times New Roman" w:cs="Times New Roman"/>
          <w:sz w:val="28"/>
          <w:szCs w:val="28"/>
        </w:rPr>
        <w:t xml:space="preserve">ниями Администрации.</w:t>
      </w:r>
      <w:r/>
      <w:r/>
    </w:p>
    <w:p>
      <w:pPr>
        <w:jc w:val="both"/>
        <w:tabs>
          <w:tab w:val="left" w:pos="-142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проведённого анализа установлено, что УФАС по Новосибирской области выявлено одно нарушение со стороны отдела контрактной системы которое выразилось в ,,,,,,,,,,</w:t>
      </w:r>
      <w:r/>
      <w:r/>
    </w:p>
    <w:p>
      <w:pPr>
        <w:ind w:firstLine="567"/>
        <w:jc w:val="both"/>
        <w:tabs>
          <w:tab w:val="left" w:pos="-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роведена правовая и антикоррупционная экспертиза всех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нормативных правовых актов, а также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при этом </w:t>
      </w:r>
      <w:r>
        <w:rPr>
          <w:rFonts w:ascii="Times New Roman" w:hAnsi="Times New Roman" w:cs="Times New Roman"/>
          <w:sz w:val="28"/>
          <w:szCs w:val="28"/>
        </w:rPr>
        <w:t xml:space="preserve">проводился</w:t>
      </w:r>
      <w:r>
        <w:rPr>
          <w:rFonts w:ascii="Times New Roman" w:hAnsi="Times New Roman" w:cs="Times New Roman"/>
          <w:sz w:val="28"/>
          <w:szCs w:val="28"/>
        </w:rPr>
        <w:t xml:space="preserve"> анализ на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признаков нарушения антимонопольного законодательства, за истекший период 2023 года,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муниципальных служащих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вопросам, связанным с соблюдением ан</w:t>
      </w:r>
      <w:r>
        <w:rPr>
          <w:rFonts w:ascii="TimesNewRomanPSMT" w:hAnsi="TimesNewRomanPSMT" w:cs="TimesNewRomanPSMT"/>
          <w:sz w:val="28"/>
          <w:szCs w:val="28"/>
        </w:rPr>
        <w:t xml:space="preserve">тимонопольного законодательства, проведения конкурентных процедур и др.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</w:t>
      </w:r>
      <w:r>
        <w:rPr>
          <w:rFonts w:ascii="TimesNewRomanPSMT" w:hAnsi="TimesNewRomanPSMT" w:cs="TimesNewRomanPSMT"/>
          <w:sz w:val="28"/>
          <w:szCs w:val="28"/>
        </w:rPr>
        <w:t xml:space="preserve">лица</w:t>
      </w:r>
      <w:r>
        <w:rPr>
          <w:rFonts w:ascii="TimesNewRomanPSMT" w:hAnsi="TimesNewRomanPSMT" w:cs="TimesNewRomanPSMT"/>
          <w:sz w:val="28"/>
          <w:szCs w:val="28"/>
        </w:rPr>
        <w:t xml:space="preserve">ми</w:t>
      </w:r>
      <w:r>
        <w:rPr>
          <w:rFonts w:ascii="TimesNewRomanPSMT" w:hAnsi="TimesNewRomanPSMT" w:cs="TimesNewRomanPSMT"/>
          <w:sz w:val="28"/>
          <w:szCs w:val="28"/>
        </w:rPr>
        <w:t xml:space="preserve">, претендующи</w:t>
      </w:r>
      <w:r>
        <w:rPr>
          <w:rFonts w:ascii="TimesNewRomanPSMT" w:hAnsi="TimesNewRomanPSMT" w:cs="TimesNewRomanPSMT"/>
          <w:sz w:val="28"/>
          <w:szCs w:val="28"/>
        </w:rPr>
        <w:t xml:space="preserve">ми</w:t>
      </w:r>
      <w:r>
        <w:rPr>
          <w:rFonts w:ascii="TimesNewRomanPSMT" w:hAnsi="TimesNewRomanPSMT" w:cs="TimesNewRomanPSMT"/>
          <w:sz w:val="28"/>
          <w:szCs w:val="28"/>
        </w:rPr>
        <w:t xml:space="preserve"> на замещение должностей муниципальной службы,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</w:t>
      </w:r>
      <w:r>
        <w:rPr>
          <w:rFonts w:ascii="TimesNewRomanPSMT" w:hAnsi="TimesNewRomanPSMT" w:cs="TimesNewRomanPSMT"/>
          <w:sz w:val="28"/>
          <w:szCs w:val="28"/>
        </w:rPr>
        <w:t xml:space="preserve">в</w:t>
      </w:r>
      <w:r>
        <w:rPr>
          <w:rFonts w:ascii="TimesNewRomanPSMT" w:hAnsi="TimesNewRomanPSMT" w:cs="TimesNewRomanPSMT"/>
          <w:sz w:val="28"/>
          <w:szCs w:val="28"/>
        </w:rPr>
        <w:t xml:space="preserve">од</w:t>
      </w:r>
      <w:r>
        <w:rPr>
          <w:rFonts w:ascii="TimesNewRomanPSMT" w:hAnsi="TimesNewRomanPSMT" w:cs="TimesNewRomanPSMT"/>
          <w:sz w:val="28"/>
          <w:szCs w:val="28"/>
        </w:rPr>
        <w:t xml:space="preserve">ились</w:t>
      </w:r>
      <w:r>
        <w:rPr>
          <w:rFonts w:ascii="TimesNewRomanPSMT" w:hAnsi="TimesNewRomanPSMT" w:cs="TimesNewRomanPSMT"/>
          <w:sz w:val="28"/>
          <w:szCs w:val="28"/>
        </w:rPr>
        <w:t xml:space="preserve"> процедур</w:t>
      </w:r>
      <w:r>
        <w:rPr>
          <w:rFonts w:ascii="TimesNewRomanPSMT" w:hAnsi="TimesNewRomanPSMT" w:cs="TimesNewRomanPSMT"/>
          <w:sz w:val="28"/>
          <w:szCs w:val="28"/>
        </w:rPr>
        <w:t xml:space="preserve">ы</w:t>
      </w:r>
      <w:r>
        <w:rPr>
          <w:rFonts w:ascii="TimesNewRomanPSMT" w:hAnsi="TimesNewRomanPSMT" w:cs="TimesNewRomanPSMT"/>
          <w:sz w:val="28"/>
          <w:szCs w:val="28"/>
        </w:rPr>
        <w:t xml:space="preserve"> ознакомления с нормативными актами</w:t>
      </w:r>
      <w:r>
        <w:rPr>
          <w:rFonts w:ascii="TimesNewRomanPSMT" w:hAnsi="TimesNewRomanPSMT" w:cs="TimesNewRomanPSMT"/>
          <w:sz w:val="28"/>
          <w:szCs w:val="28"/>
        </w:rPr>
        <w:t xml:space="preserve">, положениями, инструкциями, правилами</w:t>
      </w:r>
      <w:r>
        <w:rPr>
          <w:rFonts w:ascii="TimesNewRomanPSMT" w:hAnsi="TimesNewRomanPSMT" w:cs="TimesNewRomanPSMT"/>
          <w:sz w:val="28"/>
          <w:szCs w:val="28"/>
        </w:rPr>
        <w:t xml:space="preserve"> по соблюдению системы внутреннего обесп</w:t>
      </w:r>
      <w:r>
        <w:rPr>
          <w:rFonts w:ascii="TimesNewRomanPSMT" w:hAnsi="TimesNewRomanPSMT" w:cs="TimesNewRomanPSMT"/>
          <w:sz w:val="28"/>
          <w:szCs w:val="28"/>
        </w:rPr>
        <w:t xml:space="preserve">ечения соответствия требованиям </w:t>
      </w:r>
      <w:r>
        <w:rPr>
          <w:rFonts w:ascii="TimesNewRomanPSMT" w:hAnsi="TimesNewRomanPSMT" w:cs="TimesNewRomanPSMT"/>
          <w:sz w:val="28"/>
          <w:szCs w:val="28"/>
        </w:rPr>
        <w:t xml:space="preserve">антимонопольного</w:t>
      </w:r>
      <w:r>
        <w:rPr>
          <w:rFonts w:ascii="TimesNewRomanPSMT" w:hAnsi="TimesNewRomanPSMT" w:cs="TimesNewRomanPSMT"/>
          <w:sz w:val="28"/>
          <w:szCs w:val="28"/>
        </w:rPr>
        <w:t xml:space="preserve"> законодательства, антикоррупционных в администрации Мошковского района.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   У</w:t>
      </w:r>
      <w:r>
        <w:rPr>
          <w:rFonts w:ascii="TimesNewRomanPSMT" w:hAnsi="TimesNewRomanPSMT" w:cs="TimesNewRomanPSMT"/>
          <w:sz w:val="28"/>
          <w:szCs w:val="28"/>
        </w:rPr>
        <w:t xml:space="preserve">правлением экономического развития</w:t>
      </w:r>
      <w:r>
        <w:rPr>
          <w:rFonts w:ascii="TimesNewRomanPSMT" w:hAnsi="TimesNewRomanPSMT" w:cs="TimesNewRomanPSMT"/>
          <w:sz w:val="28"/>
          <w:szCs w:val="28"/>
        </w:rPr>
        <w:t xml:space="preserve"> и труда</w:t>
      </w:r>
      <w:r>
        <w:rPr>
          <w:rFonts w:ascii="TimesNewRomanPSMT" w:hAnsi="TimesNewRomanPSMT" w:cs="TimesNewRomanPSMT"/>
          <w:sz w:val="28"/>
          <w:szCs w:val="28"/>
        </w:rPr>
        <w:t xml:space="preserve"> на основании представленных сведений структурными подразделениями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разработаны: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карта рисков нарушения антимонопольного законодательства</w:t>
      </w:r>
      <w:r>
        <w:rPr>
          <w:rFonts w:ascii="TimesNewRomanPSMT" w:hAnsi="TimesNewRomanPSMT" w:cs="TimesNewRomanPSMT"/>
          <w:sz w:val="28"/>
          <w:szCs w:val="28"/>
        </w:rPr>
        <w:t xml:space="preserve">;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план мероприятий («дорожная карта») по снижению нарушений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антимонопольного законодательства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Ежегодно готовится доклад об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осуществлении системы внутреннего обеспечения соответствия требованиям антимонопольного законодательства в администрации</w:t>
      </w:r>
      <w:r>
        <w:rPr>
          <w:rFonts w:ascii="TimesNewRomanPSMT" w:hAnsi="TimesNewRomanPSMT" w:cs="TimesNewRomanPSMT"/>
          <w:sz w:val="28"/>
          <w:szCs w:val="28"/>
        </w:rPr>
        <w:t xml:space="preserve"> Мошковского района.</w:t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Вопрос об </w:t>
      </w:r>
      <w:r>
        <w:rPr>
          <w:rFonts w:ascii="Times New Roman" w:hAnsi="Times New Roman" w:cs="Times New Roman"/>
          <w:sz w:val="28"/>
          <w:szCs w:val="28"/>
        </w:rPr>
        <w:t xml:space="preserve">оценк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Совета по инвестициям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решения, действия администрации и (или) ее должностных лиц, ведущие к 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раничению конкуренции, поданных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органы прокуратуры, в адрес уполномоченного по защите прав предпринимателей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Расчет ключевых показателей эффективности антимонопольного комплаенса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годом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 = КНпп / Кноп</w:t>
      </w:r>
      <w:r>
        <w:rPr>
          <w:rFonts w:ascii="Times New Roman" w:hAnsi="Times New Roman" w:cs="Times New Roman"/>
          <w:sz w:val="28"/>
          <w:szCs w:val="28"/>
        </w:rPr>
        <w:t xml:space="preserve"> = 1, где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 – коэффициент снижения количества нарушений антимонопольного законодательства со стороны Администрации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годом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КНпп – количество нарушений антимонопольного законодательства со стороны Администрации в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году (</w:t>
      </w: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 – количество нарушений антимонопольного законодательства со стороны Администрации 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году (1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выявлено 1нарушение антимонопольного законодательства со стороны Администрации.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выявлено 1 нарушение антимонопольного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льства со стороны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Показатель  не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тигнут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остался на уровне прошлого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4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возбужденные антимонопольным органом в отношении администрации антимонопольные дела;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выданные антимонопольным органом администрации предупреждения о прекращении действий (бездействия), об отмене или </w:t>
      </w:r>
      <w:r>
        <w:rPr>
          <w:sz w:val="28"/>
          <w:szCs w:val="28"/>
        </w:rPr>
        <w:t xml:space="preserve">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Доля нормативных правовых актов администрации Мошковского района, в отношении которых проведен анализ на предмет их соответствия антимонопольному законодательству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Днпа= </w:t>
      </w:r>
      <w:r>
        <w:rPr>
          <w:sz w:val="28"/>
          <w:szCs w:val="28"/>
          <w:u w:val="single"/>
        </w:rPr>
        <w:t xml:space="preserve">КПнпа</w:t>
      </w:r>
      <w:r>
        <w:rPr>
          <w:sz w:val="28"/>
          <w:szCs w:val="28"/>
        </w:rPr>
        <w:t xml:space="preserve">/КОнпа=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Днпа – доля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КПнпа – количество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КОнпа - общее количество нормативных правовых актов администрации.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3 году по всем принятым НПА проведен анализ на предмет их соответствия антимонопольному законодательству.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Доля нормативных правовых актов администрации, в которых выявлены риски нарушения антимонопольного законодательства, рассчитывается по формуле: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4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Днпа = </w:t>
      </w:r>
      <w:r>
        <w:rPr>
          <w:sz w:val="28"/>
          <w:szCs w:val="28"/>
          <w:u w:val="single"/>
        </w:rPr>
        <w:t xml:space="preserve">Кнпаоп</w:t>
      </w:r>
      <w:r>
        <w:rPr>
          <w:sz w:val="28"/>
          <w:szCs w:val="28"/>
          <w:u w:val="single"/>
        </w:rPr>
        <w:t xml:space="preserve">/Кноп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0, где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Днпа - доля нормативных правовых актов администрации, в которых выявлены риски нарушения антимонопольного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Кнпаоп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3 году нормативных правовых актов администрации, в которых выявлены риски нарушения антимонопольного законодательства и нормативных правовых актов администрации, в которых выявлены риски нарушения антимонопольного законодательства 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трех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функционирования антимонопольного комплаенса в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один показатель не выполнен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Количество нарушений антимонопольного законодательства со стороны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222222"/>
          <w:sz w:val="28"/>
          <w:szCs w:val="28"/>
          <w:highlight w:val="none"/>
          <w:lang w:eastAsia="ru-RU"/>
        </w:rPr>
        <w:t xml:space="preserve"> осталось на уровне 2022 года.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выполнения ключевых показателей эффективности функционирования антимонопольного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комплаенса за 2023 год составило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66,7%.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Новых рисков, нарушения антимонопольного законодательства, которые не</w:t>
      </w:r>
      <w:r>
        <w:rPr>
          <w:sz w:val="28"/>
          <w:szCs w:val="28"/>
        </w:rPr>
        <w:t xml:space="preserve">обходимо внести</w:t>
      </w:r>
      <w:r>
        <w:rPr>
          <w:sz w:val="28"/>
          <w:szCs w:val="28"/>
        </w:rPr>
        <w:t xml:space="preserve"> в карт</w:t>
      </w:r>
      <w:r>
        <w:rPr>
          <w:sz w:val="28"/>
          <w:szCs w:val="28"/>
        </w:rPr>
        <w:t xml:space="preserve">у комплаенс-рисков, не выявлено.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целях снижения вероятности наступления комплаенс-рисков необходимо разработать план мероприятий по снижению комплаенс-рисков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на 2024 год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содержащий конкретные мероприятия, необходимые для устранения выявленных рисков, в разрезе каждого комплаенс-риска.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pStyle w:val="8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Глав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Мошковского района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Новосибирской области                                                                    С.Н.Субботин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Бабич Татьяна Павловна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8 383 48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21-976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PSMT">
    <w:panose1 w:val="02020603050405020304"/>
  </w:font>
  <w:font w:name="PT Serif">
    <w:panose1 w:val="020A0603040505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3"/>
    <w:link w:val="684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table" w:styleId="83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8">
    <w:name w:val="Strong"/>
    <w:basedOn w:val="833"/>
    <w:uiPriority w:val="22"/>
    <w:qFormat/>
    <w:rPr>
      <w:b/>
      <w:bCs/>
    </w:rPr>
  </w:style>
  <w:style w:type="paragraph" w:styleId="839">
    <w:name w:val="No Spacing"/>
    <w:basedOn w:val="832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Segoe UI" w:hAnsi="Segoe UI" w:cs="Segoe UI"/>
      <w:sz w:val="18"/>
      <w:szCs w:val="18"/>
    </w:rPr>
  </w:style>
  <w:style w:type="character" w:styleId="842" w:customStyle="1">
    <w:name w:val="Основной текст2"/>
    <w:basedOn w:val="83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paragraph" w:styleId="84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4">
    <w:name w:val="Hyperlink"/>
    <w:basedOn w:val="833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moshkovo.nso.ru/page/396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4BF4-41BD-4BF4-9817-83F8ADBA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17</cp:revision>
  <dcterms:created xsi:type="dcterms:W3CDTF">2021-02-15T04:14:00Z</dcterms:created>
  <dcterms:modified xsi:type="dcterms:W3CDTF">2024-02-26T08:47:09Z</dcterms:modified>
</cp:coreProperties>
</file>