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D9AF9D" w14:textId="77777777" w:rsidR="00423BF3" w:rsidRDefault="00423BF3" w:rsidP="00423BF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bookmarkStart w:id="0" w:name="_GoBack"/>
      <w:bookmarkEnd w:id="0"/>
    </w:p>
    <w:p w14:paraId="51ABAD49" w14:textId="021241DF" w:rsidR="00423BF3" w:rsidRPr="00423BF3" w:rsidRDefault="00423BF3" w:rsidP="00B055BE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МЕТОДИЧЕСКИЕ УКАЗАНИЯ</w:t>
      </w:r>
    </w:p>
    <w:p w14:paraId="1175CC59" w14:textId="77777777" w:rsidR="00423BF3" w:rsidRDefault="00B055BE" w:rsidP="00B055BE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по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 xml:space="preserve"> разработке долгосрочных планов </w:t>
      </w:r>
    </w:p>
    <w:p w14:paraId="675AB6E7" w14:textId="6F2D3EFC" w:rsidR="00B055BE" w:rsidRPr="00423BF3" w:rsidRDefault="00B055BE" w:rsidP="00B055BE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социально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-экономического развития сельских агломераций</w:t>
      </w:r>
    </w:p>
    <w:p w14:paraId="70979A69" w14:textId="77777777" w:rsidR="00B055BE" w:rsidRPr="00423BF3" w:rsidRDefault="00B055BE" w:rsidP="00B055BE">
      <w:pPr>
        <w:pStyle w:val="ConsPlusTitle"/>
        <w:spacing w:before="24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I. Общие положения</w:t>
      </w:r>
    </w:p>
    <w:p w14:paraId="030BB120" w14:textId="2B9FBAC4" w:rsidR="00B055BE" w:rsidRPr="00423BF3" w:rsidRDefault="00B055BE" w:rsidP="00B055BE">
      <w:pPr>
        <w:pStyle w:val="ConsPlusTitle"/>
        <w:spacing w:before="240"/>
        <w:ind w:firstLine="567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1. Термины, используемые в настоящих Методических указаниях по разработке долгосрочных планов социально-экономического развития сельских агломераций (далее соответственно – Методические указания, долгосрочные планы развития/ долгосрочный план развития), соответствуют терминологии, приведенной в </w:t>
      </w:r>
      <w:r w:rsidR="00043BAA">
        <w:rPr>
          <w:rFonts w:ascii="Times New Roman" w:hAnsi="Times New Roman"/>
          <w:b w:val="0"/>
          <w:sz w:val="28"/>
          <w:szCs w:val="28"/>
        </w:rPr>
        <w:t>Правилах</w:t>
      </w:r>
      <w:r w:rsidRPr="00423BF3">
        <w:rPr>
          <w:rFonts w:ascii="Times New Roman" w:hAnsi="Times New Roman"/>
          <w:b w:val="0"/>
          <w:sz w:val="28"/>
          <w:szCs w:val="28"/>
        </w:rPr>
        <w:t xml:space="preserve"> разработки, реализации и оценки эффективности долгосрочных планов социально-экономического развития сельских агломераций, утвержденном постановлением Правительства Российской Федерации от … № … (далее – </w:t>
      </w:r>
      <w:r w:rsidR="00043BAA">
        <w:rPr>
          <w:rFonts w:ascii="Times New Roman" w:hAnsi="Times New Roman"/>
          <w:b w:val="0"/>
          <w:sz w:val="28"/>
          <w:szCs w:val="28"/>
        </w:rPr>
        <w:t>Правила</w:t>
      </w:r>
      <w:r w:rsidRPr="00423BF3">
        <w:rPr>
          <w:rFonts w:ascii="Times New Roman" w:hAnsi="Times New Roman"/>
          <w:b w:val="0"/>
          <w:sz w:val="28"/>
          <w:szCs w:val="28"/>
        </w:rPr>
        <w:t xml:space="preserve"> разработки долгосрочных планов развития). </w:t>
      </w:r>
    </w:p>
    <w:p w14:paraId="1B4C73B6" w14:textId="77777777" w:rsidR="00B055BE" w:rsidRPr="00423BF3" w:rsidRDefault="00B055BE" w:rsidP="00B055BE">
      <w:pPr>
        <w:pStyle w:val="ConsPlusTitle"/>
        <w:spacing w:before="240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II. Разработка долгосрочного плана развития</w:t>
      </w:r>
    </w:p>
    <w:p w14:paraId="5EFFD9EB" w14:textId="77777777" w:rsidR="00B055BE" w:rsidRPr="00423BF3" w:rsidRDefault="00B055BE" w:rsidP="00B055BE">
      <w:pPr>
        <w:pStyle w:val="ConsPlusTitle"/>
        <w:spacing w:before="240"/>
        <w:jc w:val="center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Требования к разработке долгосрочного плана развития и его структуре</w:t>
      </w:r>
    </w:p>
    <w:p w14:paraId="0032CB44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3. Разработка проекта долгосрочного плана развития основывается:</w:t>
      </w:r>
    </w:p>
    <w:p w14:paraId="37ACA31B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а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на результатах оценки текущего уровня инфраструктурного развития сельской агломерации;</w:t>
      </w:r>
    </w:p>
    <w:p w14:paraId="74FA0D83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б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на результатах оценки предшествующей, текущей и прогнозируемой демографической ситуации на территории сельской агломерации;</w:t>
      </w:r>
    </w:p>
    <w:p w14:paraId="37E5467D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в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на результатах оценки предшествующей, текущей и прогнозируемой экономической ситуации на территории сельской агломерации;</w:t>
      </w:r>
    </w:p>
    <w:p w14:paraId="71CDF276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на результатах оценки требуемого уровня инфраструктурного развития сельской агломерации с учетом демографического прогноза и прогнозируемой экономической ситуации.</w:t>
      </w:r>
    </w:p>
    <w:p w14:paraId="04DB9CE5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4. Разработка проекта долгосрочного плана развития включает в себя следующие этапы:</w:t>
      </w:r>
    </w:p>
    <w:p w14:paraId="781EB2C3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1) проведение оценки текущего уровня инфраструктурного развития сельской агломерации;</w:t>
      </w:r>
    </w:p>
    <w:p w14:paraId="4CBCDE2C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2) составление демографического прогноза и прогноза экономического развития сельской агломерации;</w:t>
      </w:r>
    </w:p>
    <w:p w14:paraId="04A4173A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3) проведение оценки требуемого уровня инфраструктурного развития сельской агломерации;</w:t>
      </w:r>
    </w:p>
    <w:p w14:paraId="261BCC5C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lastRenderedPageBreak/>
        <w:t>4) разработка комплекса мероприятий долгосрочного плана развития, направленных на формирование на территории сельской агломерации совокупности объектов инфраструктуры, необходимой и достаточной для обеспечения требуемого уровня доступности для жителей сельской агломерации набора соответствующих услуг;</w:t>
      </w:r>
    </w:p>
    <w:p w14:paraId="137BB96B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5) формирование проекта долгосрочного плана развития, как единого документа.</w:t>
      </w:r>
    </w:p>
    <w:p w14:paraId="0C85091A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5. Под оценкой текущего уровня инфраструктурного развития сельской агломерации понимается развернутый анализ состояния имеющихся объектов инфраструктуры сельской агломерации и уровня доступности для жителей сельской агломерации набора услуг, предоставление которых осуществляется с использованием соответствующих объектов инфраструктуры сельской агломерации, проводимый на момент разработки проекта долгосрочного плана развития.</w:t>
      </w:r>
    </w:p>
    <w:p w14:paraId="66BAEC01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На этапе проведения оценки текущего уровня инфраструктурного развития сельской агломерации проводится:</w:t>
      </w:r>
    </w:p>
    <w:p w14:paraId="2BFCE018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а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развернутый анализ текущей демографической ситуации на территории сельской агломерации, в том числе в разрезе населенных пунктов;</w:t>
      </w:r>
    </w:p>
    <w:p w14:paraId="1F2DCA9E" w14:textId="77777777" w:rsidR="00B055BE" w:rsidRPr="00423BF3" w:rsidRDefault="00B055BE" w:rsidP="00B055BE">
      <w:pPr>
        <w:pStyle w:val="ConsPlusTitle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 w:rsidRPr="00423BF3">
        <w:rPr>
          <w:rFonts w:ascii="Times New Roman" w:hAnsi="Times New Roman"/>
          <w:b w:val="0"/>
          <w:sz w:val="28"/>
          <w:szCs w:val="28"/>
        </w:rPr>
        <w:t>б</w:t>
      </w:r>
      <w:proofErr w:type="gramEnd"/>
      <w:r w:rsidRPr="00423BF3">
        <w:rPr>
          <w:rFonts w:ascii="Times New Roman" w:hAnsi="Times New Roman"/>
          <w:b w:val="0"/>
          <w:sz w:val="28"/>
          <w:szCs w:val="28"/>
        </w:rPr>
        <w:t>) развернутый анализ текущего состояния объектов инфраструктуры сельской агломерации, в том числе в разрезе населенных пунктов;</w:t>
      </w:r>
    </w:p>
    <w:p w14:paraId="3AC2D755" w14:textId="77777777" w:rsidR="00B055BE" w:rsidRPr="00423BF3" w:rsidRDefault="00B055BE" w:rsidP="00B055BE">
      <w:pPr>
        <w:pStyle w:val="ConsPlusNormal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6. Развернутый анализ текущей демографической ситуации на территории сельской агломерации, осуществляется на основании Базы данных статистических показателей, характеризующих состояние экономики и социальной сферы муниципального образования (БД ПМО), формируемая Федеральной службой государственной статистики в соответствии с разделом 1.33 «Муниципальная статистика» Федерального плана статистических работ, утвержденного распоряжением Правительства Российской Федерации от 06.05.2008 № 671-р (с последующими изменениями). </w:t>
      </w:r>
    </w:p>
    <w:p w14:paraId="5FCB99BD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Перечень показателей для проведения развернутого анализа текущей </w:t>
      </w:r>
      <w:r w:rsidRPr="00423BF3">
        <w:rPr>
          <w:sz w:val="28"/>
          <w:szCs w:val="28"/>
          <w:shd w:val="clear" w:color="auto" w:fill="FFFFFF" w:themeFill="background1"/>
        </w:rPr>
        <w:t>демографической ситуации на территории сельской агломерации, на территории населенных пунктов, входящих в состав сельской агломерации, приведен в приложениях №№ 1, 2 к</w:t>
      </w:r>
      <w:r w:rsidRPr="00423BF3">
        <w:rPr>
          <w:sz w:val="28"/>
          <w:szCs w:val="28"/>
        </w:rPr>
        <w:t xml:space="preserve"> настоящим Методическим указаниям.</w:t>
      </w:r>
    </w:p>
    <w:p w14:paraId="20D5DAE7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7. Развернутый анализ текущего состояния объектов инфраструктуры сельской агломерации осуществляется на основании следующего состава первичных данных:</w:t>
      </w:r>
    </w:p>
    <w:p w14:paraId="473B9155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t>а</w:t>
      </w:r>
      <w:proofErr w:type="gramEnd"/>
      <w:r w:rsidRPr="00423BF3">
        <w:rPr>
          <w:sz w:val="28"/>
          <w:szCs w:val="28"/>
        </w:rPr>
        <w:t>) данные о наличии и месторасположении объектов инфраструктуры, предназначенных для размещения и осуществления в них деятельности соответствующих организаций или их структурных подразделений;</w:t>
      </w:r>
    </w:p>
    <w:p w14:paraId="5343334F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t>б</w:t>
      </w:r>
      <w:proofErr w:type="gramEnd"/>
      <w:r w:rsidRPr="00423BF3">
        <w:rPr>
          <w:sz w:val="28"/>
          <w:szCs w:val="28"/>
        </w:rPr>
        <w:t xml:space="preserve">) данные о техническом состоянии объектов инфраструктуры, </w:t>
      </w:r>
      <w:r w:rsidRPr="00423BF3">
        <w:rPr>
          <w:sz w:val="28"/>
          <w:szCs w:val="28"/>
        </w:rPr>
        <w:lastRenderedPageBreak/>
        <w:t>предназначенных для размещения и осуществления в них деятельности соответствующих организаций или их структурных подразделений;</w:t>
      </w:r>
    </w:p>
    <w:p w14:paraId="541437D6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t>г</w:t>
      </w:r>
      <w:proofErr w:type="gramEnd"/>
      <w:r w:rsidRPr="00423BF3">
        <w:rPr>
          <w:sz w:val="28"/>
          <w:szCs w:val="28"/>
        </w:rPr>
        <w:t>) данные, количественно характеризующие деятельность соответствующих организаций или их структурных подразделений, в том числе данные о мощности, контингенте и кадровом обеспечении;</w:t>
      </w:r>
    </w:p>
    <w:p w14:paraId="26AEFA4A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t>е</w:t>
      </w:r>
      <w:proofErr w:type="gramEnd"/>
      <w:r w:rsidRPr="00423BF3">
        <w:rPr>
          <w:sz w:val="28"/>
          <w:szCs w:val="28"/>
        </w:rPr>
        <w:t>) данные об оснащенности соответствующих организаций или их структурных подразделений необходимыми транспортными средствами (при наличии соответствующих нормативных требований).</w:t>
      </w:r>
    </w:p>
    <w:p w14:paraId="21C4B1CA" w14:textId="77777777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Перечень показателей для развернутого анализа текущего состояния объектов инфраструктуры сельской агломерации </w:t>
      </w:r>
      <w:r w:rsidRPr="00423BF3">
        <w:rPr>
          <w:rFonts w:ascii="Times New Roman" w:hAnsi="Times New Roman"/>
          <w:b w:val="0"/>
          <w:sz w:val="28"/>
          <w:szCs w:val="28"/>
          <w:shd w:val="clear" w:color="auto" w:fill="FFFFFF" w:themeFill="background1"/>
        </w:rPr>
        <w:t xml:space="preserve">приведен в приложении № 3 к </w:t>
      </w:r>
      <w:r w:rsidRPr="00423BF3">
        <w:rPr>
          <w:rFonts w:ascii="Times New Roman" w:hAnsi="Times New Roman"/>
          <w:b w:val="0"/>
          <w:sz w:val="28"/>
          <w:szCs w:val="28"/>
        </w:rPr>
        <w:t>настоящим Методическим указаниям.</w:t>
      </w:r>
    </w:p>
    <w:p w14:paraId="11E5621C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8. Прогноз развития демографической ситуации строится на основе результатов развернутого анализа текущей демографической ситуации на территории сельской агломерации, подходы к которому изложены в пункте 6 настоящих Методических указаний.</w:t>
      </w:r>
    </w:p>
    <w:p w14:paraId="27F189D7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На первом этапе осуществляется расчет прогнозных значений, основанный на предшествующей динамике демографических показателей.</w:t>
      </w:r>
    </w:p>
    <w:p w14:paraId="7841C363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Прогноз численности населения в зависимости от полноты имеющихся данных можно рассчитать двумя способами:</w:t>
      </w:r>
    </w:p>
    <w:p w14:paraId="0DF19558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  <w:u w:val="single"/>
        </w:rPr>
        <w:t>1 способ</w:t>
      </w:r>
      <w:r w:rsidRPr="00423BF3">
        <w:rPr>
          <w:sz w:val="28"/>
          <w:szCs w:val="28"/>
        </w:rPr>
        <w:t xml:space="preserve"> – экстраполяция данных с учетом среднего абсолютного прироста численности</w:t>
      </w:r>
    </w:p>
    <w:p w14:paraId="07FB057F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п</w:t>
      </w:r>
      <w:proofErr w:type="spellEnd"/>
      <w:r w:rsidRPr="00423BF3">
        <w:rPr>
          <w:sz w:val="28"/>
          <w:szCs w:val="28"/>
        </w:rPr>
        <w:t xml:space="preserve"> = </w:t>
      </w: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ф</w:t>
      </w:r>
      <w:proofErr w:type="spellEnd"/>
      <w:r w:rsidRPr="00423BF3">
        <w:rPr>
          <w:sz w:val="28"/>
          <w:szCs w:val="28"/>
        </w:rPr>
        <w:t xml:space="preserve"> + САП </w:t>
      </w:r>
      <w:r w:rsidRPr="00423BF3">
        <w:t>х</w:t>
      </w:r>
      <w:r w:rsidRPr="00423BF3">
        <w:rPr>
          <w:sz w:val="28"/>
          <w:szCs w:val="28"/>
        </w:rPr>
        <w:t xml:space="preserve"> </w:t>
      </w:r>
      <w:r w:rsidRPr="00423BF3">
        <w:rPr>
          <w:sz w:val="28"/>
          <w:szCs w:val="28"/>
          <w:lang w:val="en-US"/>
        </w:rPr>
        <w:t>t</w:t>
      </w:r>
      <w:r w:rsidRPr="00423BF3">
        <w:rPr>
          <w:sz w:val="28"/>
          <w:szCs w:val="28"/>
        </w:rPr>
        <w:t xml:space="preserve"> ± </w:t>
      </w:r>
      <w:proofErr w:type="gramStart"/>
      <w:r w:rsidRPr="00423BF3">
        <w:rPr>
          <w:sz w:val="28"/>
          <w:szCs w:val="28"/>
          <w:lang w:val="en-US"/>
        </w:rPr>
        <w:t>m</w:t>
      </w:r>
      <w:r w:rsidRPr="00423BF3">
        <w:rPr>
          <w:sz w:val="28"/>
          <w:szCs w:val="28"/>
        </w:rPr>
        <w:t xml:space="preserve">  ,</w:t>
      </w:r>
      <w:proofErr w:type="gramEnd"/>
      <w:r w:rsidRPr="00423BF3">
        <w:rPr>
          <w:sz w:val="28"/>
          <w:szCs w:val="28"/>
        </w:rPr>
        <w:t xml:space="preserve"> </w:t>
      </w:r>
    </w:p>
    <w:p w14:paraId="440E9947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t>где</w:t>
      </w:r>
      <w:proofErr w:type="gramEnd"/>
      <w:r w:rsidRPr="00423BF3">
        <w:rPr>
          <w:sz w:val="28"/>
          <w:szCs w:val="28"/>
        </w:rPr>
        <w:t>:</w:t>
      </w:r>
    </w:p>
    <w:p w14:paraId="7F1AFED9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п</w:t>
      </w:r>
      <w:proofErr w:type="spellEnd"/>
      <w:r w:rsidRPr="00423BF3">
        <w:rPr>
          <w:sz w:val="28"/>
          <w:szCs w:val="28"/>
        </w:rPr>
        <w:t xml:space="preserve"> – прогнозируемая численность населения (человек);</w:t>
      </w:r>
    </w:p>
    <w:p w14:paraId="49AFC4AA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ф</w:t>
      </w:r>
      <w:proofErr w:type="spellEnd"/>
      <w:r w:rsidRPr="00423BF3">
        <w:rPr>
          <w:sz w:val="28"/>
          <w:szCs w:val="28"/>
        </w:rPr>
        <w:t xml:space="preserve"> – фактическая численность населения на начало текущего года (человек);</w:t>
      </w:r>
    </w:p>
    <w:p w14:paraId="77189515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САП – среднегодовой абсолютный прирост численности населения (человек);</w:t>
      </w:r>
    </w:p>
    <w:p w14:paraId="051C32FB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  <w:lang w:val="en-US"/>
        </w:rPr>
        <w:t>t</w:t>
      </w:r>
      <w:r w:rsidRPr="00423BF3">
        <w:rPr>
          <w:sz w:val="28"/>
          <w:szCs w:val="28"/>
        </w:rPr>
        <w:t xml:space="preserve"> – </w:t>
      </w:r>
      <w:proofErr w:type="gramStart"/>
      <w:r w:rsidRPr="00423BF3">
        <w:rPr>
          <w:sz w:val="28"/>
          <w:szCs w:val="28"/>
        </w:rPr>
        <w:t>число</w:t>
      </w:r>
      <w:proofErr w:type="gramEnd"/>
      <w:r w:rsidRPr="00423BF3">
        <w:rPr>
          <w:sz w:val="28"/>
          <w:szCs w:val="28"/>
        </w:rPr>
        <w:t xml:space="preserve"> лет, на которые рассчитывается прогноз;</w:t>
      </w:r>
    </w:p>
    <w:p w14:paraId="25DC6D79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± </w:t>
      </w:r>
      <w:r w:rsidRPr="00423BF3">
        <w:rPr>
          <w:sz w:val="28"/>
          <w:szCs w:val="28"/>
          <w:lang w:val="en-US"/>
        </w:rPr>
        <w:t>m</w:t>
      </w:r>
      <w:r w:rsidRPr="00423BF3">
        <w:rPr>
          <w:sz w:val="28"/>
          <w:szCs w:val="28"/>
        </w:rPr>
        <w:t xml:space="preserve"> – ошибка прогноза каждого года (1%).</w:t>
      </w:r>
    </w:p>
    <w:p w14:paraId="14608DD5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  <w:u w:val="single"/>
        </w:rPr>
        <w:t>2 способ</w:t>
      </w:r>
      <w:r w:rsidRPr="00423BF3">
        <w:rPr>
          <w:sz w:val="28"/>
          <w:szCs w:val="28"/>
        </w:rPr>
        <w:t xml:space="preserve"> – регрессия с учетом показателей, характеризующих естественный и механический прирост численности</w:t>
      </w:r>
    </w:p>
    <w:p w14:paraId="572DD3CF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position w:val="-38"/>
          <w:sz w:val="28"/>
          <w:szCs w:val="28"/>
          <w:lang w:val="en-US"/>
        </w:rPr>
        <w:object w:dxaOrig="3540" w:dyaOrig="980" w14:anchorId="1CAD48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76.75pt;height:48.6pt" o:ole="">
            <v:imagedata r:id="rId6" o:title=""/>
          </v:shape>
          <o:OLEObject Type="Embed" ProgID="Equation.3" ShapeID="_x0000_i1026" DrawAspect="Content" ObjectID="_1751957832" r:id="rId7"/>
        </w:object>
      </w:r>
      <w:r w:rsidRPr="00423BF3">
        <w:rPr>
          <w:sz w:val="28"/>
          <w:szCs w:val="28"/>
        </w:rPr>
        <w:t xml:space="preserve">  ,</w:t>
      </w:r>
    </w:p>
    <w:p w14:paraId="14238538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gramStart"/>
      <w:r w:rsidRPr="00423BF3">
        <w:rPr>
          <w:sz w:val="28"/>
          <w:szCs w:val="28"/>
        </w:rPr>
        <w:lastRenderedPageBreak/>
        <w:t>где</w:t>
      </w:r>
      <w:proofErr w:type="gramEnd"/>
      <w:r w:rsidRPr="00423BF3">
        <w:rPr>
          <w:sz w:val="28"/>
          <w:szCs w:val="28"/>
        </w:rPr>
        <w:t>:</w:t>
      </w:r>
    </w:p>
    <w:p w14:paraId="31BA60BA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п</w:t>
      </w:r>
      <w:proofErr w:type="spellEnd"/>
      <w:r w:rsidRPr="00423BF3">
        <w:rPr>
          <w:sz w:val="28"/>
          <w:szCs w:val="28"/>
        </w:rPr>
        <w:t xml:space="preserve"> – прогнозируемая численность населения (человек);</w:t>
      </w:r>
    </w:p>
    <w:p w14:paraId="561D9FED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proofErr w:type="spellStart"/>
      <w:r w:rsidRPr="00423BF3">
        <w:rPr>
          <w:sz w:val="28"/>
          <w:szCs w:val="28"/>
        </w:rPr>
        <w:t>ЧН</w:t>
      </w:r>
      <w:r w:rsidRPr="00423BF3">
        <w:rPr>
          <w:sz w:val="28"/>
          <w:szCs w:val="28"/>
          <w:vertAlign w:val="subscript"/>
        </w:rPr>
        <w:t>ф</w:t>
      </w:r>
      <w:proofErr w:type="spellEnd"/>
      <w:r w:rsidRPr="00423BF3">
        <w:rPr>
          <w:sz w:val="28"/>
          <w:szCs w:val="28"/>
        </w:rPr>
        <w:t xml:space="preserve"> – фактическая численность населения на начало текущего года (человек);</w:t>
      </w:r>
    </w:p>
    <w:p w14:paraId="498D3791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П – естественный среднегодовой прирост населения (%);</w:t>
      </w:r>
    </w:p>
    <w:p w14:paraId="499981CD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М – среднегодовая разница миграции населения (%);</w:t>
      </w:r>
    </w:p>
    <w:p w14:paraId="2115844B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  <w:lang w:val="en-US"/>
        </w:rPr>
        <w:t>t</w:t>
      </w:r>
      <w:r w:rsidRPr="00423BF3">
        <w:rPr>
          <w:sz w:val="28"/>
          <w:szCs w:val="28"/>
        </w:rPr>
        <w:t xml:space="preserve"> – </w:t>
      </w:r>
      <w:proofErr w:type="gramStart"/>
      <w:r w:rsidRPr="00423BF3">
        <w:rPr>
          <w:sz w:val="28"/>
          <w:szCs w:val="28"/>
        </w:rPr>
        <w:t>число</w:t>
      </w:r>
      <w:proofErr w:type="gramEnd"/>
      <w:r w:rsidRPr="00423BF3">
        <w:rPr>
          <w:sz w:val="28"/>
          <w:szCs w:val="28"/>
        </w:rPr>
        <w:t xml:space="preserve"> лет, на которые рассчитывается прогноз;</w:t>
      </w:r>
    </w:p>
    <w:p w14:paraId="5180FD86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851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± </w:t>
      </w:r>
      <w:r w:rsidRPr="00423BF3">
        <w:rPr>
          <w:sz w:val="28"/>
          <w:szCs w:val="28"/>
          <w:lang w:val="en-US"/>
        </w:rPr>
        <w:t>m</w:t>
      </w:r>
      <w:r w:rsidRPr="00423BF3">
        <w:rPr>
          <w:sz w:val="28"/>
          <w:szCs w:val="28"/>
        </w:rPr>
        <w:t xml:space="preserve"> – ошибка прогноза каждого года (1%).</w:t>
      </w:r>
    </w:p>
    <w:p w14:paraId="5C8AD412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На втором этапе при наличии в прогнозируемом периоде факторов, точечно влияющих на численность населения как сельской агломерации, так и отдельных населенных пунктов, осуществляется корректировка значений, полученных на первом этапе прогнозирования численности населения. </w:t>
      </w:r>
    </w:p>
    <w:p w14:paraId="54F6A0F0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  <w:shd w:val="clear" w:color="auto" w:fill="FFFFFF" w:themeFill="background1"/>
        </w:rPr>
        <w:t>Табличная форма представления результатов прогноза развития демографической ситуации на территории сельской агломерации приведена в приложении № 4 к настоящим</w:t>
      </w:r>
      <w:r w:rsidRPr="00423BF3">
        <w:rPr>
          <w:sz w:val="28"/>
          <w:szCs w:val="28"/>
        </w:rPr>
        <w:t xml:space="preserve"> Методическим указаниям.</w:t>
      </w:r>
    </w:p>
    <w:p w14:paraId="1488EE55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9. Прогноз экономического развития сельской агломерации строится на основе статистических показателей, характеризующих в динамике экономическую ситуацию на территории сельской агломерации, а также на основе данных о текущем и планируемом размещении производительных сил на территории сельской агломерации.</w:t>
      </w:r>
    </w:p>
    <w:p w14:paraId="642BEFDE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10.</w:t>
      </w:r>
      <w:r w:rsidRPr="00423BF3">
        <w:rPr>
          <w:color w:val="FF0000"/>
          <w:sz w:val="36"/>
          <w:szCs w:val="36"/>
        </w:rPr>
        <w:t xml:space="preserve"> </w:t>
      </w:r>
      <w:r w:rsidRPr="00423BF3">
        <w:rPr>
          <w:sz w:val="28"/>
          <w:szCs w:val="28"/>
        </w:rPr>
        <w:t>Источниками данных по статистическим показателям, характеризующим в динамике экономическую ситуацию на территории сельской агломерации являются:</w:t>
      </w:r>
    </w:p>
    <w:p w14:paraId="049E124F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1) База данных статистических показателей, характеризующих состояние экономики и социальной сферы муниципального образования (БД ПМО), формируемая Федеральной службой государственной статистики в соответствии с разделом 1.33 «Муниципальная статистика» Федерального плана статистических работ, утвержденного распоряжением Правительства Российской Федерации от 06.05.2008 № 671-р (с последующими изменениями). </w:t>
      </w:r>
    </w:p>
    <w:p w14:paraId="3F312170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2) Отчеты региональных органов исполнительной власти в сфере труда и занятости.</w:t>
      </w:r>
    </w:p>
    <w:p w14:paraId="5ADC9D21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Перечень показателей, характеризующих в динамике предшествующую и текущую </w:t>
      </w:r>
      <w:r w:rsidRPr="00423BF3">
        <w:rPr>
          <w:sz w:val="28"/>
          <w:szCs w:val="28"/>
          <w:shd w:val="clear" w:color="auto" w:fill="FFFFFF" w:themeFill="background1"/>
        </w:rPr>
        <w:t>экономическую ситуацию на территории сельской агломерации, приведен в приложении № 5 к настоящим</w:t>
      </w:r>
      <w:r w:rsidRPr="00423BF3">
        <w:rPr>
          <w:sz w:val="28"/>
          <w:szCs w:val="28"/>
        </w:rPr>
        <w:t xml:space="preserve"> Методическим указаниям.</w:t>
      </w:r>
    </w:p>
    <w:p w14:paraId="5C84D3DA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11.</w:t>
      </w:r>
      <w:r w:rsidRPr="00423BF3">
        <w:rPr>
          <w:color w:val="FF0000"/>
          <w:sz w:val="36"/>
          <w:szCs w:val="36"/>
        </w:rPr>
        <w:t xml:space="preserve"> </w:t>
      </w:r>
      <w:r w:rsidRPr="00423BF3">
        <w:rPr>
          <w:sz w:val="28"/>
          <w:szCs w:val="28"/>
        </w:rPr>
        <w:t>Оценка текущего и планируемого размещения производительных сил на территории сельской агломерации может быть проведена на основании открытых источников данных (</w:t>
      </w:r>
      <w:hyperlink r:id="rId8" w:history="1">
        <w:r w:rsidRPr="00423BF3">
          <w:rPr>
            <w:rStyle w:val="a6"/>
            <w:color w:val="auto"/>
            <w:sz w:val="28"/>
            <w:szCs w:val="28"/>
            <w:lang w:val="en-US"/>
          </w:rPr>
          <w:t>https</w:t>
        </w:r>
        <w:r w:rsidRPr="00423BF3">
          <w:rPr>
            <w:rStyle w:val="a6"/>
            <w:color w:val="auto"/>
            <w:sz w:val="28"/>
            <w:szCs w:val="28"/>
          </w:rPr>
          <w:t>://</w:t>
        </w:r>
        <w:r w:rsidRPr="00423BF3">
          <w:rPr>
            <w:rStyle w:val="a6"/>
            <w:color w:val="auto"/>
            <w:sz w:val="28"/>
            <w:szCs w:val="28"/>
            <w:lang w:val="en-US"/>
          </w:rPr>
          <w:t>spark</w:t>
        </w:r>
        <w:r w:rsidRPr="00423BF3">
          <w:rPr>
            <w:rStyle w:val="a6"/>
            <w:color w:val="auto"/>
            <w:sz w:val="28"/>
            <w:szCs w:val="28"/>
          </w:rPr>
          <w:t>-</w:t>
        </w:r>
        <w:r w:rsidRPr="00423BF3">
          <w:rPr>
            <w:rStyle w:val="a6"/>
            <w:color w:val="auto"/>
            <w:sz w:val="28"/>
            <w:szCs w:val="28"/>
            <w:lang w:val="en-US"/>
          </w:rPr>
          <w:t>interfax</w:t>
        </w:r>
        <w:r w:rsidRPr="00423BF3">
          <w:rPr>
            <w:rStyle w:val="a6"/>
            <w:color w:val="auto"/>
            <w:sz w:val="28"/>
            <w:szCs w:val="28"/>
          </w:rPr>
          <w:t>.</w:t>
        </w:r>
        <w:r w:rsidRPr="00423BF3">
          <w:rPr>
            <w:rStyle w:val="a6"/>
            <w:color w:val="auto"/>
            <w:sz w:val="28"/>
            <w:szCs w:val="28"/>
            <w:lang w:val="en-US"/>
          </w:rPr>
          <w:t>ru</w:t>
        </w:r>
        <w:r w:rsidRPr="00423BF3">
          <w:rPr>
            <w:rStyle w:val="a6"/>
            <w:color w:val="auto"/>
            <w:sz w:val="28"/>
            <w:szCs w:val="28"/>
          </w:rPr>
          <w:t>/</w:t>
        </w:r>
      </w:hyperlink>
      <w:r w:rsidRPr="00423BF3">
        <w:rPr>
          <w:sz w:val="28"/>
          <w:szCs w:val="28"/>
        </w:rPr>
        <w:t xml:space="preserve"> </w:t>
      </w:r>
      <w:hyperlink r:id="rId9" w:history="1">
        <w:r w:rsidRPr="00423BF3">
          <w:rPr>
            <w:rStyle w:val="a6"/>
            <w:color w:val="auto"/>
            <w:sz w:val="28"/>
            <w:szCs w:val="28"/>
          </w:rPr>
          <w:t>https://bo.nalog.ru/</w:t>
        </w:r>
      </w:hyperlink>
      <w:r w:rsidRPr="00423BF3">
        <w:rPr>
          <w:sz w:val="28"/>
          <w:szCs w:val="28"/>
        </w:rPr>
        <w:t xml:space="preserve">), а </w:t>
      </w:r>
      <w:r w:rsidRPr="00423BF3">
        <w:rPr>
          <w:sz w:val="28"/>
          <w:szCs w:val="28"/>
        </w:rPr>
        <w:lastRenderedPageBreak/>
        <w:t>также при непосредственном взаимодействии органов власти на региональном и муниципальном уровне с хозяйствующими субъектами, ведущими свою деятельность на территории сельской агломерации.</w:t>
      </w:r>
    </w:p>
    <w:p w14:paraId="6EC03C5E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Оценка текущего и планируемого размещения производительных сил на территории сельской агломерации должна быть проведена в разрезе хозяйствующих субъектов, обеспечивающих </w:t>
      </w:r>
      <w:r w:rsidRPr="00423BF3">
        <w:rPr>
          <w:sz w:val="28"/>
          <w:szCs w:val="28"/>
          <w:shd w:val="clear" w:color="auto" w:fill="FFFFFF" w:themeFill="background1"/>
        </w:rPr>
        <w:t>не менее 90 процентов рабочих мест на территории сельской агломерации и (или) формирующих в совокупности не менее 90 процентов налоговых отчислений, собираемых на территории сельской агломерации. При этом оценка текущего</w:t>
      </w:r>
      <w:r w:rsidRPr="00423BF3">
        <w:rPr>
          <w:sz w:val="28"/>
          <w:szCs w:val="28"/>
        </w:rPr>
        <w:t xml:space="preserve"> и планируемого размещения на территории сельской агломерации производительных сил субъектов малого предпринимательства может быть проведена по общей совокупности субъектов малого предпринимательства. </w:t>
      </w:r>
    </w:p>
    <w:p w14:paraId="5FD8CABF" w14:textId="6232F549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Результаты оценки текущего и планируемого размещения производительных сил на территории сельской агломерации оформляются в аналитическую таблицу по форме, приведенной </w:t>
      </w:r>
      <w:r w:rsidRPr="00423BF3">
        <w:rPr>
          <w:sz w:val="28"/>
          <w:szCs w:val="28"/>
          <w:shd w:val="clear" w:color="auto" w:fill="FFFFFF" w:themeFill="background1"/>
        </w:rPr>
        <w:t>в приложении № 6 к</w:t>
      </w:r>
      <w:r w:rsidRPr="00423BF3">
        <w:rPr>
          <w:sz w:val="28"/>
          <w:szCs w:val="28"/>
        </w:rPr>
        <w:t xml:space="preserve"> настоящим Методическим указаниям. </w:t>
      </w:r>
    </w:p>
    <w:p w14:paraId="1AE6F11B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12. Под оценкой требуемого уровня инфраструктурного развития сельской агломерации понимается определение потребностей сельской агломерации в тех или иных объектах инфраструктуры, количественные и качественные характеристики которой позволили бы обеспечить требуемый, исходя из нормативов градостроительного проектирования, демографического прогноза, иных параметров уровень доступности для жителей сельской агломерации набора социально-значимых услуг.</w:t>
      </w:r>
    </w:p>
    <w:p w14:paraId="28BC6BFB" w14:textId="0D42591A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Оценка требуемого уровня инфраструктурного развития сельской агломерации осуществляется на конец последнего года реализации долгосрочного плана развития.</w:t>
      </w:r>
    </w:p>
    <w:p w14:paraId="5F87477C" w14:textId="7777777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Результаты оценки требуемого уровня инфраструктурного развития сельской агломерации служат основой для формирования комплекса мероприятий долгосрочного плана развития (далее – комплекс мероприятий). </w:t>
      </w:r>
    </w:p>
    <w:p w14:paraId="63CE4EF0" w14:textId="44CFBDE7" w:rsidR="00B055BE" w:rsidRPr="00423BF3" w:rsidRDefault="00B055BE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Минсельхоз России в рамках проведения комплексной экспертизы социально-экономического положения сельской агломерации, установленной пунктом 18 </w:t>
      </w:r>
      <w:r w:rsidR="00043BAA">
        <w:rPr>
          <w:sz w:val="28"/>
          <w:szCs w:val="28"/>
        </w:rPr>
        <w:t>Правил</w:t>
      </w:r>
      <w:r w:rsidRPr="00423BF3">
        <w:rPr>
          <w:sz w:val="28"/>
          <w:szCs w:val="28"/>
        </w:rPr>
        <w:t xml:space="preserve"> разработки долгосрочных планов развития, при оценке целесообразности, оптимальности и достаточности комплекса мероприятий долгосрочного плана развития, в том числе анализирует результаты оценки требуемого уровня инфраструктурного развития сельской агломерации и дает заключение об их обоснованности. </w:t>
      </w:r>
    </w:p>
    <w:p w14:paraId="7CB746CB" w14:textId="77777777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13. Комплекс мероприятий долгосрочного плана развития (далее – комплекс мероприятий) должен быть направлен на комплексное социально-экономическое развитие сельской агломерации, в том числе на формирование на территории сельской агломерации совокупности объектов инфраструктуры, необходимой и достаточной для обеспечения доступности для жителей сельской агломерации набора социально-значимых услуг. </w:t>
      </w:r>
    </w:p>
    <w:p w14:paraId="5F4ABE29" w14:textId="4560F843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lastRenderedPageBreak/>
        <w:t xml:space="preserve"> Формирование комплекса мероприятий осуществляется отдельно для опорного населенного пункта сельской агломерации и отдельно для прилегающих населенных пунктов, в том числе отдельно в отношении объектов инфраструктуры, функционирование которых направлено на реализацию полномочий органов местного самоуправления и полномочий региональных органов исполнительной власти.</w:t>
      </w:r>
    </w:p>
    <w:p w14:paraId="516E0C73" w14:textId="77777777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14. При формировании комплекса мероприятий необходимо руководствоваться следующими обязательными требованиями:</w:t>
      </w:r>
    </w:p>
    <w:p w14:paraId="05E084A7" w14:textId="4137674C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1) </w:t>
      </w:r>
      <w:r w:rsidR="001C4D0C">
        <w:rPr>
          <w:rFonts w:ascii="Times New Roman" w:hAnsi="Times New Roman"/>
          <w:b w:val="0"/>
          <w:sz w:val="28"/>
          <w:szCs w:val="28"/>
        </w:rPr>
        <w:t>к</w:t>
      </w:r>
      <w:r w:rsidRPr="00423BF3">
        <w:rPr>
          <w:rFonts w:ascii="Times New Roman" w:hAnsi="Times New Roman"/>
          <w:b w:val="0"/>
          <w:sz w:val="28"/>
          <w:szCs w:val="28"/>
        </w:rPr>
        <w:t xml:space="preserve">омплекс мероприятий должен включать в себя исчерпывающий перечень мероприятий как муниципального, так и регионального уровня, реализация которых позволила бы обеспечить требуемый, исходя из прогнозируемой потребности, уровень доступности для жителей сельской агломерации набора соответствующих услуг. </w:t>
      </w:r>
    </w:p>
    <w:p w14:paraId="3B570564" w14:textId="7E23B0DD" w:rsidR="00B055BE" w:rsidRPr="00423BF3" w:rsidRDefault="004F31C2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2</w:t>
      </w:r>
      <w:r w:rsidR="00B055BE" w:rsidRPr="00423BF3">
        <w:rPr>
          <w:rFonts w:ascii="Times New Roman" w:hAnsi="Times New Roman"/>
          <w:b w:val="0"/>
          <w:sz w:val="28"/>
          <w:szCs w:val="28"/>
        </w:rPr>
        <w:t xml:space="preserve">) </w:t>
      </w:r>
      <w:r w:rsidR="001C4D0C">
        <w:rPr>
          <w:rFonts w:ascii="Times New Roman" w:hAnsi="Times New Roman"/>
          <w:b w:val="0"/>
          <w:sz w:val="28"/>
          <w:szCs w:val="28"/>
        </w:rPr>
        <w:t>п</w:t>
      </w:r>
      <w:r w:rsidR="00B055BE" w:rsidRPr="00423BF3">
        <w:rPr>
          <w:rFonts w:ascii="Times New Roman" w:hAnsi="Times New Roman"/>
          <w:b w:val="0"/>
          <w:sz w:val="28"/>
          <w:szCs w:val="28"/>
        </w:rPr>
        <w:t>ланирование мероприятий, направленных на обеспечение транспортной связности населенных пунктов, входящих в состав сельской агломерации посредством строительства / реконструкции / капитального ремонта отдельных участков дорог, следует осуществлять с учетом соблюдения следующей приоритетной последовательности:</w:t>
      </w:r>
    </w:p>
    <w:p w14:paraId="2811A19F" w14:textId="3BCAB284" w:rsidR="00B055BE" w:rsidRPr="00423BF3" w:rsidRDefault="001C4D0C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) </w:t>
      </w:r>
      <w:r w:rsidR="00B055BE" w:rsidRPr="00423BF3">
        <w:rPr>
          <w:rFonts w:ascii="Times New Roman" w:hAnsi="Times New Roman"/>
          <w:b w:val="0"/>
          <w:sz w:val="28"/>
          <w:szCs w:val="28"/>
        </w:rPr>
        <w:t>строительство / реконструкция / капитальный ремонт участков дорог ведущих от опорного населенного пункта к прилегающим населенным пунктам, в которых отсутствуют условия для предоставления жителям этих населенных пунктов набора / тех или иных социально-значимых услуг (при наличии соответствующей потребности в таких услугах);</w:t>
      </w:r>
    </w:p>
    <w:p w14:paraId="477215EC" w14:textId="762D1381" w:rsidR="00B055BE" w:rsidRPr="00423BF3" w:rsidRDefault="001C4D0C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б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) </w:t>
      </w:r>
      <w:r w:rsidR="00B055BE" w:rsidRPr="00423BF3">
        <w:rPr>
          <w:rFonts w:ascii="Times New Roman" w:hAnsi="Times New Roman"/>
          <w:b w:val="0"/>
          <w:sz w:val="28"/>
          <w:szCs w:val="28"/>
        </w:rPr>
        <w:t>строительство / реконструкция / капитальный ремонт участков дорог ведущих от опорного населенного пункта к прилегающим населенным пунктам, численность жителей в которых имеет положительную прогнозную динамику;</w:t>
      </w:r>
    </w:p>
    <w:p w14:paraId="7EBFCB4F" w14:textId="629BA86D" w:rsidR="00B055BE" w:rsidRPr="00423BF3" w:rsidRDefault="001C4D0C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) </w:t>
      </w:r>
      <w:r w:rsidR="00B055BE" w:rsidRPr="00423BF3">
        <w:rPr>
          <w:rFonts w:ascii="Times New Roman" w:hAnsi="Times New Roman"/>
          <w:b w:val="0"/>
          <w:sz w:val="28"/>
          <w:szCs w:val="28"/>
        </w:rPr>
        <w:t>строительство / реконструкция / капитальный ремонт участков дорог ведущих от одного прилегающего населенного пункта к другому прилегающему населенному пункту, в целях обеспечения для жителей прилегающих населенных пунктов, в которых отсутствуют условия для предоставления жителям этих населенных пунктов тех или иных социально-значимых услуг (при наличии соответствующей потребности в таких услугах).</w:t>
      </w:r>
    </w:p>
    <w:p w14:paraId="1EE787F8" w14:textId="7DC4A936" w:rsidR="00B055BE" w:rsidRPr="00423BF3" w:rsidRDefault="004F31C2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3</w:t>
      </w:r>
      <w:r w:rsidR="00B055BE" w:rsidRPr="00423BF3">
        <w:rPr>
          <w:sz w:val="28"/>
          <w:szCs w:val="28"/>
        </w:rPr>
        <w:t xml:space="preserve">) </w:t>
      </w:r>
      <w:r w:rsidR="001C4D0C">
        <w:rPr>
          <w:sz w:val="28"/>
          <w:szCs w:val="28"/>
        </w:rPr>
        <w:t>и</w:t>
      </w:r>
      <w:r w:rsidR="00B055BE" w:rsidRPr="00423BF3">
        <w:rPr>
          <w:sz w:val="28"/>
          <w:szCs w:val="28"/>
        </w:rPr>
        <w:t xml:space="preserve">з общего числа мероприятий долгосрочного плана развития, претендующих на </w:t>
      </w:r>
      <w:proofErr w:type="spellStart"/>
      <w:r w:rsidR="00B055BE" w:rsidRPr="00423BF3">
        <w:rPr>
          <w:sz w:val="28"/>
          <w:szCs w:val="28"/>
        </w:rPr>
        <w:t>софинансирование</w:t>
      </w:r>
      <w:proofErr w:type="spellEnd"/>
      <w:r w:rsidR="00B055BE" w:rsidRPr="00423BF3">
        <w:rPr>
          <w:sz w:val="28"/>
          <w:szCs w:val="28"/>
        </w:rPr>
        <w:t xml:space="preserve"> из федерального бюджета, реализация хотя бы одного мероприятия должна начинаться в первый год реализации долгосрочного плана развития. При этом на </w:t>
      </w:r>
      <w:r w:rsidR="00B055BE" w:rsidRPr="00423BF3">
        <w:rPr>
          <w:sz w:val="28"/>
          <w:szCs w:val="28"/>
          <w:shd w:val="clear" w:color="auto" w:fill="FFFFFF" w:themeFill="background1"/>
        </w:rPr>
        <w:t>первые три года срока реализации таких мероприятий должно приходится не более 50 процентов общего объема расходов, требуемого на реализацию мероприятий за</w:t>
      </w:r>
      <w:r w:rsidR="00B055BE" w:rsidRPr="00423BF3">
        <w:rPr>
          <w:sz w:val="28"/>
          <w:szCs w:val="28"/>
        </w:rPr>
        <w:t xml:space="preserve"> счет средств субсидий из федерального бюджета. </w:t>
      </w:r>
    </w:p>
    <w:p w14:paraId="4E87BA74" w14:textId="180ED140" w:rsidR="00B055BE" w:rsidRPr="00423BF3" w:rsidRDefault="004F31C2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4</w:t>
      </w:r>
      <w:r w:rsidR="00B055BE" w:rsidRPr="00423BF3">
        <w:rPr>
          <w:rFonts w:ascii="Times New Roman" w:hAnsi="Times New Roman"/>
          <w:b w:val="0"/>
          <w:sz w:val="28"/>
          <w:szCs w:val="28"/>
        </w:rPr>
        <w:t xml:space="preserve">) </w:t>
      </w:r>
      <w:r w:rsidR="001C4D0C">
        <w:rPr>
          <w:rFonts w:ascii="Times New Roman" w:hAnsi="Times New Roman"/>
          <w:b w:val="0"/>
          <w:sz w:val="28"/>
          <w:szCs w:val="28"/>
        </w:rPr>
        <w:t>м</w:t>
      </w:r>
      <w:r w:rsidR="00B055BE" w:rsidRPr="00423BF3">
        <w:rPr>
          <w:rFonts w:ascii="Times New Roman" w:hAnsi="Times New Roman"/>
          <w:b w:val="0"/>
          <w:sz w:val="28"/>
          <w:szCs w:val="28"/>
        </w:rPr>
        <w:t xml:space="preserve">ероприятия, предусматривающие создание нового объекта инфраструктуры и (или) увеличение мощности, и (или) расширение </w:t>
      </w:r>
      <w:r w:rsidR="00B055BE" w:rsidRPr="00423BF3">
        <w:rPr>
          <w:rFonts w:ascii="Times New Roman" w:hAnsi="Times New Roman"/>
          <w:b w:val="0"/>
          <w:sz w:val="28"/>
          <w:szCs w:val="28"/>
        </w:rPr>
        <w:lastRenderedPageBreak/>
        <w:t xml:space="preserve">функциональной направленности действующего объекта инфраструктуры   должны быть подкреплены обоснованиями их реализации, в том числе перечнем вспомогательных мероприятий, реализация которых обеспечивает реализацию основных мероприятий и (или) последующее эффективное функционирование соответствующих объектов инфраструктуры. </w:t>
      </w:r>
    </w:p>
    <w:p w14:paraId="4808C54A" w14:textId="6919C214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Планирование комплекса мероприятий осуществляется по форме, приведенной </w:t>
      </w:r>
      <w:r w:rsidRPr="00423BF3">
        <w:rPr>
          <w:rFonts w:ascii="Times New Roman" w:hAnsi="Times New Roman"/>
          <w:b w:val="0"/>
          <w:sz w:val="28"/>
          <w:szCs w:val="28"/>
          <w:shd w:val="clear" w:color="auto" w:fill="FFFFFF" w:themeFill="background1"/>
        </w:rPr>
        <w:t xml:space="preserve">в приложении № </w:t>
      </w:r>
      <w:r w:rsidR="0040402E" w:rsidRPr="00423BF3">
        <w:rPr>
          <w:rFonts w:ascii="Times New Roman" w:hAnsi="Times New Roman"/>
          <w:b w:val="0"/>
          <w:sz w:val="28"/>
          <w:szCs w:val="28"/>
          <w:shd w:val="clear" w:color="auto" w:fill="FFFFFF" w:themeFill="background1"/>
        </w:rPr>
        <w:t>7</w:t>
      </w:r>
      <w:r w:rsidRPr="00423BF3">
        <w:rPr>
          <w:rFonts w:ascii="Times New Roman" w:hAnsi="Times New Roman"/>
          <w:b w:val="0"/>
          <w:sz w:val="28"/>
          <w:szCs w:val="28"/>
          <w:shd w:val="clear" w:color="auto" w:fill="FFFFFF" w:themeFill="background1"/>
        </w:rPr>
        <w:t xml:space="preserve"> к настоящим</w:t>
      </w:r>
      <w:r w:rsidRPr="00423BF3">
        <w:rPr>
          <w:rFonts w:ascii="Times New Roman" w:hAnsi="Times New Roman"/>
          <w:b w:val="0"/>
          <w:sz w:val="28"/>
          <w:szCs w:val="28"/>
        </w:rPr>
        <w:t xml:space="preserve"> Методическим указаниям.</w:t>
      </w:r>
    </w:p>
    <w:p w14:paraId="138576DC" w14:textId="77777777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15.</w:t>
      </w:r>
      <w:r w:rsidRPr="00423BF3">
        <w:rPr>
          <w:rFonts w:ascii="Times New Roman" w:hAnsi="Times New Roman"/>
          <w:b w:val="0"/>
          <w:color w:val="FF0000"/>
          <w:sz w:val="36"/>
          <w:szCs w:val="36"/>
        </w:rPr>
        <w:t xml:space="preserve"> </w:t>
      </w:r>
      <w:r w:rsidRPr="00423BF3">
        <w:rPr>
          <w:rFonts w:ascii="Times New Roman" w:hAnsi="Times New Roman"/>
          <w:b w:val="0"/>
          <w:sz w:val="28"/>
          <w:szCs w:val="28"/>
        </w:rPr>
        <w:t>Долгосрочный план развития, как документ, подлежащий утверждению, должен содержать:</w:t>
      </w:r>
    </w:p>
    <w:p w14:paraId="022D9AA3" w14:textId="07F280CB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1) </w:t>
      </w:r>
      <w:r w:rsidR="001C4D0C">
        <w:rPr>
          <w:rFonts w:ascii="Times New Roman" w:hAnsi="Times New Roman"/>
          <w:b w:val="0"/>
          <w:sz w:val="28"/>
          <w:szCs w:val="28"/>
        </w:rPr>
        <w:t>т</w:t>
      </w:r>
      <w:r w:rsidRPr="00423BF3">
        <w:rPr>
          <w:rFonts w:ascii="Times New Roman" w:hAnsi="Times New Roman"/>
          <w:b w:val="0"/>
          <w:sz w:val="28"/>
          <w:szCs w:val="28"/>
        </w:rPr>
        <w:t>итульный лист долгосрочного плана развития;</w:t>
      </w:r>
    </w:p>
    <w:p w14:paraId="2A9201FC" w14:textId="25A4E65D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2) </w:t>
      </w:r>
      <w:r w:rsidR="001C4D0C">
        <w:rPr>
          <w:rFonts w:ascii="Times New Roman" w:hAnsi="Times New Roman"/>
          <w:b w:val="0"/>
          <w:sz w:val="28"/>
          <w:szCs w:val="28"/>
        </w:rPr>
        <w:t>п</w:t>
      </w:r>
      <w:r w:rsidRPr="00423BF3">
        <w:rPr>
          <w:rFonts w:ascii="Times New Roman" w:hAnsi="Times New Roman"/>
          <w:b w:val="0"/>
          <w:sz w:val="28"/>
          <w:szCs w:val="28"/>
        </w:rPr>
        <w:t>аспорт долгосрочного плана развития;</w:t>
      </w:r>
    </w:p>
    <w:p w14:paraId="3E62DED1" w14:textId="52C5F4C3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3) </w:t>
      </w:r>
      <w:r w:rsidR="001C4D0C">
        <w:rPr>
          <w:rFonts w:ascii="Times New Roman" w:hAnsi="Times New Roman"/>
          <w:b w:val="0"/>
          <w:sz w:val="28"/>
          <w:szCs w:val="28"/>
        </w:rPr>
        <w:t>т</w:t>
      </w:r>
      <w:r w:rsidRPr="00423BF3">
        <w:rPr>
          <w:rFonts w:ascii="Times New Roman" w:hAnsi="Times New Roman"/>
          <w:b w:val="0"/>
          <w:sz w:val="28"/>
          <w:szCs w:val="28"/>
        </w:rPr>
        <w:t>екстовую часть долгосрочного плана развития, содержащую:</w:t>
      </w:r>
    </w:p>
    <w:p w14:paraId="720AC03B" w14:textId="7185EDE2" w:rsidR="00B055BE" w:rsidRPr="00423BF3" w:rsidRDefault="001C4D0C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) </w:t>
      </w:r>
      <w:r w:rsidR="00B055BE" w:rsidRPr="00423BF3">
        <w:rPr>
          <w:rFonts w:ascii="Times New Roman" w:hAnsi="Times New Roman"/>
          <w:b w:val="0"/>
          <w:sz w:val="28"/>
          <w:szCs w:val="28"/>
        </w:rPr>
        <w:t>обобщенную информацию о текущем уровне демографического, инфраструктурного, экономического развития территории сельской агломерации,</w:t>
      </w:r>
    </w:p>
    <w:p w14:paraId="217D7C24" w14:textId="01D8CEF5" w:rsidR="00B055BE" w:rsidRPr="00423BF3" w:rsidRDefault="001C4D0C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б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) </w:t>
      </w:r>
      <w:r w:rsidR="00B055BE" w:rsidRPr="00423BF3">
        <w:rPr>
          <w:rFonts w:ascii="Times New Roman" w:hAnsi="Times New Roman"/>
          <w:b w:val="0"/>
          <w:sz w:val="28"/>
          <w:szCs w:val="28"/>
        </w:rPr>
        <w:t>обобщенную информацию о прогнозе развития демографической и экономической ситуаций на территории сельской агломерации;</w:t>
      </w:r>
    </w:p>
    <w:p w14:paraId="66102959" w14:textId="058652BA" w:rsidR="00B055BE" w:rsidRPr="00423BF3" w:rsidRDefault="00B055BE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 xml:space="preserve">4) </w:t>
      </w:r>
      <w:r w:rsidR="001C4D0C">
        <w:rPr>
          <w:rFonts w:ascii="Times New Roman" w:hAnsi="Times New Roman"/>
          <w:b w:val="0"/>
          <w:sz w:val="28"/>
          <w:szCs w:val="28"/>
        </w:rPr>
        <w:t>к</w:t>
      </w:r>
      <w:r w:rsidRPr="00423BF3">
        <w:rPr>
          <w:rFonts w:ascii="Times New Roman" w:hAnsi="Times New Roman"/>
          <w:b w:val="0"/>
          <w:sz w:val="28"/>
          <w:szCs w:val="28"/>
        </w:rPr>
        <w:t>омплекс мероприятий долгосрочного плана развития во взаимосвязи с объемами финансирования, требуемыми на их реализацию.</w:t>
      </w:r>
    </w:p>
    <w:p w14:paraId="4B8F8175" w14:textId="7E732F4C" w:rsidR="00B53697" w:rsidRPr="00423BF3" w:rsidRDefault="00B53697" w:rsidP="00B53697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Форма представления планируемого комплекса мероприятий долгосрочного плана развития приведена </w:t>
      </w:r>
      <w:r w:rsidRPr="00423BF3">
        <w:rPr>
          <w:sz w:val="28"/>
          <w:szCs w:val="28"/>
          <w:shd w:val="clear" w:color="auto" w:fill="FFFFFF" w:themeFill="background1"/>
        </w:rPr>
        <w:t>в приложении № 8 к</w:t>
      </w:r>
      <w:r w:rsidRPr="00423BF3">
        <w:rPr>
          <w:sz w:val="28"/>
          <w:szCs w:val="28"/>
        </w:rPr>
        <w:t xml:space="preserve"> настоящим Методическим указаниям.</w:t>
      </w:r>
    </w:p>
    <w:p w14:paraId="79301BCE" w14:textId="0FB78A36" w:rsidR="004E6C52" w:rsidRPr="00423BF3" w:rsidRDefault="004E6C52" w:rsidP="009A042D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>5) Перечень целевых индикаторов.</w:t>
      </w:r>
    </w:p>
    <w:p w14:paraId="60031439" w14:textId="70368F57" w:rsidR="004E6C52" w:rsidRDefault="004E6C52" w:rsidP="004E6C52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 w:rsidRPr="00423BF3">
        <w:rPr>
          <w:sz w:val="28"/>
          <w:szCs w:val="28"/>
        </w:rPr>
        <w:t xml:space="preserve">Форма представления перечня целевых индикаторов приведена </w:t>
      </w:r>
      <w:r w:rsidRPr="00423BF3">
        <w:rPr>
          <w:sz w:val="28"/>
          <w:szCs w:val="28"/>
          <w:shd w:val="clear" w:color="auto" w:fill="FFFFFF" w:themeFill="background1"/>
        </w:rPr>
        <w:t>в приложении № 9 к</w:t>
      </w:r>
      <w:r w:rsidRPr="00423BF3">
        <w:rPr>
          <w:sz w:val="28"/>
          <w:szCs w:val="28"/>
        </w:rPr>
        <w:t xml:space="preserve"> настоящим Методическим указаниям.</w:t>
      </w:r>
    </w:p>
    <w:p w14:paraId="6AE890C7" w14:textId="7B371E56" w:rsidR="00A3458B" w:rsidRPr="00423BF3" w:rsidRDefault="00A3458B" w:rsidP="00A3458B">
      <w:pPr>
        <w:pStyle w:val="ConsPlusNormal"/>
        <w:shd w:val="clear" w:color="auto" w:fill="FFFFFF" w:themeFill="background1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Шаблон долгосрочного плана развития, как единого документа, приведен в </w:t>
      </w:r>
      <w:r w:rsidRPr="00A3458B">
        <w:rPr>
          <w:sz w:val="28"/>
          <w:szCs w:val="28"/>
        </w:rPr>
        <w:t>приложении № 10</w:t>
      </w:r>
      <w:r>
        <w:rPr>
          <w:sz w:val="28"/>
          <w:szCs w:val="28"/>
        </w:rPr>
        <w:t xml:space="preserve"> к настоящим Методическим указаниям. </w:t>
      </w:r>
    </w:p>
    <w:p w14:paraId="0D2AEF5B" w14:textId="0BB6A2F3" w:rsidR="00B055BE" w:rsidRPr="00423BF3" w:rsidRDefault="004F31C2" w:rsidP="009A042D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 w:rsidRPr="00423BF3">
        <w:rPr>
          <w:rFonts w:ascii="Times New Roman" w:hAnsi="Times New Roman"/>
          <w:b w:val="0"/>
          <w:sz w:val="28"/>
          <w:szCs w:val="28"/>
        </w:rPr>
        <w:t>16</w:t>
      </w:r>
      <w:r w:rsidR="00B055BE" w:rsidRPr="00423BF3">
        <w:rPr>
          <w:rFonts w:ascii="Times New Roman" w:hAnsi="Times New Roman"/>
          <w:b w:val="0"/>
          <w:sz w:val="28"/>
          <w:szCs w:val="28"/>
        </w:rPr>
        <w:t>. К проекту долгосрочного плана развития должны быть приложены дополнительные и обосновывающие материалы, которые формируются в результате реализации пунктов 6-12 настоящих Методических указаний и оформляются в виде паспорта сельской агломерации.</w:t>
      </w:r>
    </w:p>
    <w:p w14:paraId="2DC9401C" w14:textId="2CB87161" w:rsidR="000024C5" w:rsidRPr="00423BF3" w:rsidRDefault="00B055BE" w:rsidP="001C4D0C">
      <w:pPr>
        <w:pStyle w:val="ConsPlusTitle"/>
        <w:shd w:val="clear" w:color="auto" w:fill="FFFFFF" w:themeFill="background1"/>
        <w:spacing w:before="240"/>
        <w:ind w:firstLine="709"/>
        <w:jc w:val="both"/>
        <w:outlineLvl w:val="2"/>
      </w:pPr>
      <w:r w:rsidRPr="00423BF3">
        <w:rPr>
          <w:rFonts w:ascii="Times New Roman" w:hAnsi="Times New Roman"/>
          <w:b w:val="0"/>
          <w:sz w:val="28"/>
          <w:szCs w:val="28"/>
        </w:rPr>
        <w:t xml:space="preserve">Представление дополнительных и обосновывающих мероприятий осуществляется в электронном виде. </w:t>
      </w:r>
    </w:p>
    <w:sectPr w:rsidR="000024C5" w:rsidRPr="00423BF3" w:rsidSect="007F0D4B">
      <w:headerReference w:type="default" r:id="rId10"/>
      <w:pgSz w:w="11906" w:h="16838" w:code="9"/>
      <w:pgMar w:top="709" w:right="851" w:bottom="851" w:left="1418" w:header="284" w:footer="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6F3DA" w14:textId="77777777" w:rsidR="00913440" w:rsidRDefault="00913440" w:rsidP="007F0D4B">
      <w:pPr>
        <w:spacing w:after="0" w:line="240" w:lineRule="auto"/>
      </w:pPr>
      <w:r>
        <w:separator/>
      </w:r>
    </w:p>
  </w:endnote>
  <w:endnote w:type="continuationSeparator" w:id="0">
    <w:p w14:paraId="73DBAC8E" w14:textId="77777777" w:rsidR="00913440" w:rsidRDefault="00913440" w:rsidP="007F0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CF8A7" w14:textId="77777777" w:rsidR="00913440" w:rsidRDefault="00913440" w:rsidP="007F0D4B">
      <w:pPr>
        <w:spacing w:after="0" w:line="240" w:lineRule="auto"/>
      </w:pPr>
      <w:r>
        <w:separator/>
      </w:r>
    </w:p>
  </w:footnote>
  <w:footnote w:type="continuationSeparator" w:id="0">
    <w:p w14:paraId="4B2084F9" w14:textId="77777777" w:rsidR="00913440" w:rsidRDefault="00913440" w:rsidP="007F0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97649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6FF90F" w14:textId="77777777" w:rsidR="007F0D4B" w:rsidRPr="007F0D4B" w:rsidRDefault="007F0D4B" w:rsidP="007F0D4B">
        <w:pPr>
          <w:pStyle w:val="a9"/>
          <w:jc w:val="center"/>
          <w:rPr>
            <w:rFonts w:ascii="Times New Roman" w:hAnsi="Times New Roman" w:cs="Times New Roman"/>
          </w:rPr>
        </w:pPr>
        <w:r w:rsidRPr="007F0D4B">
          <w:rPr>
            <w:rFonts w:ascii="Times New Roman" w:hAnsi="Times New Roman" w:cs="Times New Roman"/>
          </w:rPr>
          <w:fldChar w:fldCharType="begin"/>
        </w:r>
        <w:r w:rsidRPr="007F0D4B">
          <w:rPr>
            <w:rFonts w:ascii="Times New Roman" w:hAnsi="Times New Roman" w:cs="Times New Roman"/>
          </w:rPr>
          <w:instrText>PAGE   \* MERGEFORMAT</w:instrText>
        </w:r>
        <w:r w:rsidRPr="007F0D4B">
          <w:rPr>
            <w:rFonts w:ascii="Times New Roman" w:hAnsi="Times New Roman" w:cs="Times New Roman"/>
          </w:rPr>
          <w:fldChar w:fldCharType="separate"/>
        </w:r>
        <w:r w:rsidR="001875DE">
          <w:rPr>
            <w:rFonts w:ascii="Times New Roman" w:hAnsi="Times New Roman" w:cs="Times New Roman"/>
            <w:noProof/>
          </w:rPr>
          <w:t>7</w:t>
        </w:r>
        <w:r w:rsidRPr="007F0D4B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5BE"/>
    <w:rsid w:val="00043BAA"/>
    <w:rsid w:val="000E112B"/>
    <w:rsid w:val="001875DE"/>
    <w:rsid w:val="001C4D0C"/>
    <w:rsid w:val="002300DF"/>
    <w:rsid w:val="0026618A"/>
    <w:rsid w:val="0040402E"/>
    <w:rsid w:val="00423BF3"/>
    <w:rsid w:val="004E6C52"/>
    <w:rsid w:val="004F31C2"/>
    <w:rsid w:val="0050168B"/>
    <w:rsid w:val="005A5EAB"/>
    <w:rsid w:val="006B18DF"/>
    <w:rsid w:val="006E5F89"/>
    <w:rsid w:val="00720A11"/>
    <w:rsid w:val="007D3A3B"/>
    <w:rsid w:val="007E671D"/>
    <w:rsid w:val="007F0130"/>
    <w:rsid w:val="007F0D4B"/>
    <w:rsid w:val="008274E5"/>
    <w:rsid w:val="00913440"/>
    <w:rsid w:val="009A042D"/>
    <w:rsid w:val="00A16A46"/>
    <w:rsid w:val="00A3458B"/>
    <w:rsid w:val="00AB5978"/>
    <w:rsid w:val="00B055BE"/>
    <w:rsid w:val="00B53697"/>
    <w:rsid w:val="00C0763E"/>
    <w:rsid w:val="00CA15F1"/>
    <w:rsid w:val="00D644C5"/>
    <w:rsid w:val="00E2004C"/>
    <w:rsid w:val="00E309EC"/>
    <w:rsid w:val="00E5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DDE4DD"/>
  <w15:chartTrackingRefBased/>
  <w15:docId w15:val="{8DE21633-A6EC-4079-9AD6-23295515B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B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rsid w:val="00B055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B055BE"/>
    <w:rPr>
      <w:rFonts w:ascii="Arial" w:eastAsia="Times New Roman" w:hAnsi="Arial" w:cs="Times New Roman"/>
      <w:b/>
      <w:sz w:val="24"/>
      <w:lang w:eastAsia="ru-RU"/>
    </w:rPr>
  </w:style>
  <w:style w:type="character" w:styleId="a3">
    <w:name w:val="annotation reference"/>
    <w:basedOn w:val="a0"/>
    <w:uiPriority w:val="99"/>
    <w:semiHidden/>
    <w:unhideWhenUsed/>
    <w:rsid w:val="00B055BE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055BE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055BE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B055BE"/>
    <w:rPr>
      <w:rFonts w:cs="Times New Roman"/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5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55BE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F0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0D4B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7F0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0D4B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rk-interfax.ru/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bo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Кондыкова Юлия Александровна</dc:creator>
  <cp:keywords/>
  <dc:description/>
  <cp:lastModifiedBy>Лыкасова Дарья Андреевна</cp:lastModifiedBy>
  <cp:revision>4</cp:revision>
  <cp:lastPrinted>2023-06-06T05:58:00Z</cp:lastPrinted>
  <dcterms:created xsi:type="dcterms:W3CDTF">2023-07-25T09:48:00Z</dcterms:created>
  <dcterms:modified xsi:type="dcterms:W3CDTF">2023-07-27T07:11:00Z</dcterms:modified>
</cp:coreProperties>
</file>