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6B1D" w:rsidRDefault="00CF6B1D" w:rsidP="00CF6B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6B1D">
        <w:rPr>
          <w:rFonts w:ascii="Times New Roman" w:hAnsi="Times New Roman" w:cs="Times New Roman"/>
          <w:b/>
          <w:sz w:val="28"/>
          <w:szCs w:val="28"/>
        </w:rPr>
        <w:t>Развитие промышленного производства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91A53" w:rsidRDefault="00CF6B1D" w:rsidP="00CF6B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за 2020 год</w:t>
      </w:r>
    </w:p>
    <w:p w:rsidR="00CF6B1D" w:rsidRDefault="00CF6B1D" w:rsidP="00CF6B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6B1D" w:rsidRPr="00CF6B1D" w:rsidRDefault="00CF6B1D" w:rsidP="00CF6B1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 w:rsidRPr="00CF6B1D">
        <w:rPr>
          <w:rFonts w:ascii="Times New Roman" w:eastAsia="Calibri" w:hAnsi="Times New Roman" w:cs="Times New Roman"/>
          <w:sz w:val="28"/>
          <w:szCs w:val="28"/>
        </w:rPr>
        <w:t>Выпуском промышленной продукции на территории района занимаются 15 предприятий и 7 индивидуальных предпринимателей по производству строительных материалов, пиломатериалов, дверных блоков, пластиковых окон, тротуарной плитки, швейных изделий, хлеба, хлебобулочных и кондитерских изделий, изготовлению мясных полуфабрикатов, розлива масла, переработки молочных продуктов.  Оказываются услуги по перекачке нефтепродуктов, перевозке и перевалке песка и щебня.</w:t>
      </w:r>
    </w:p>
    <w:p w:rsidR="00CF6B1D" w:rsidRPr="00CF6B1D" w:rsidRDefault="00CF6B1D" w:rsidP="00CF6B1D">
      <w:pPr>
        <w:spacing w:after="0" w:line="240" w:lineRule="auto"/>
        <w:ind w:right="-6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6B1D">
        <w:rPr>
          <w:rFonts w:ascii="Times New Roman" w:eastAsia="Calibri" w:hAnsi="Times New Roman" w:cs="Times New Roman"/>
          <w:sz w:val="28"/>
          <w:szCs w:val="28"/>
        </w:rPr>
        <w:t>Четыре предприятия и шесть индивидуальных предпринимателей занимаются выпечкой хлеба и хлебобулочных изделий. Работают 2 цеха по выпечке кондитерских изделий.</w:t>
      </w:r>
    </w:p>
    <w:p w:rsidR="00CF6B1D" w:rsidRPr="00CF6B1D" w:rsidRDefault="00CF6B1D" w:rsidP="00CF6B1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Производством и распределением электроэнергии, газа и </w:t>
      </w:r>
      <w:proofErr w:type="gramStart"/>
      <w:r w:rsidRPr="00CF6B1D">
        <w:rPr>
          <w:rFonts w:ascii="Times New Roman" w:eastAsia="Calibri" w:hAnsi="Times New Roman" w:cs="Times New Roman"/>
          <w:sz w:val="28"/>
          <w:szCs w:val="28"/>
        </w:rPr>
        <w:t>воды  занимаются</w:t>
      </w:r>
      <w:proofErr w:type="gramEnd"/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 24 предприятия, из них наиболее крупные:  МХ ООО «</w:t>
      </w:r>
      <w:proofErr w:type="spellStart"/>
      <w:r w:rsidRPr="00CF6B1D">
        <w:rPr>
          <w:rFonts w:ascii="Times New Roman" w:eastAsia="Calibri" w:hAnsi="Times New Roman" w:cs="Times New Roman"/>
          <w:sz w:val="28"/>
          <w:szCs w:val="28"/>
        </w:rPr>
        <w:t>Теплосервис</w:t>
      </w:r>
      <w:proofErr w:type="spellEnd"/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»,  МУП «Коммунальное хозяйство </w:t>
      </w:r>
      <w:proofErr w:type="spellStart"/>
      <w:r w:rsidRPr="00CF6B1D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 района», МУП «</w:t>
      </w:r>
      <w:proofErr w:type="spellStart"/>
      <w:r w:rsidRPr="00CF6B1D">
        <w:rPr>
          <w:rFonts w:ascii="Times New Roman" w:eastAsia="Calibri" w:hAnsi="Times New Roman" w:cs="Times New Roman"/>
          <w:sz w:val="28"/>
          <w:szCs w:val="28"/>
        </w:rPr>
        <w:t>Станционно-Ояшинское</w:t>
      </w:r>
      <w:proofErr w:type="spellEnd"/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 ЖКХ»,  ООО «Коммунальные сети». </w:t>
      </w:r>
    </w:p>
    <w:p w:rsidR="00CF6B1D" w:rsidRPr="00CF6B1D" w:rsidRDefault="00CF6B1D" w:rsidP="00CF6B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  Наибольшую долю в общем объеме производства промышленной продукции </w:t>
      </w:r>
      <w:proofErr w:type="gramStart"/>
      <w:r w:rsidRPr="00CF6B1D">
        <w:rPr>
          <w:rFonts w:ascii="Times New Roman" w:eastAsia="Calibri" w:hAnsi="Times New Roman" w:cs="Times New Roman"/>
          <w:sz w:val="28"/>
          <w:szCs w:val="28"/>
        </w:rPr>
        <w:t>занимают  производство</w:t>
      </w:r>
      <w:proofErr w:type="gramEnd"/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 и распределение электроэнергии, газа и  воды – 38,9%, производство пищевой продукции – 30,2%,  производство хлеба и х/б изделий – 6,4%,  производство строительных материалов и продукции лесной промышленности -  21,1%, прочие отрасли – 3,4%.     </w:t>
      </w:r>
    </w:p>
    <w:p w:rsidR="00CF6B1D" w:rsidRPr="00CF6B1D" w:rsidRDefault="00CF6B1D" w:rsidP="00CF6B1D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6B1D">
        <w:rPr>
          <w:rFonts w:ascii="Times New Roman" w:eastAsia="Calibri" w:hAnsi="Times New Roman" w:cs="Times New Roman"/>
          <w:sz w:val="28"/>
        </w:rPr>
        <w:t>Объем отгруженных товаров собственного производства, выполненных работ и услуг собственными силами организаций обрабатывающих отраслей и предприятий по производству и распределению тепла и воды за год составил</w:t>
      </w:r>
      <w:r w:rsidRPr="00CF6B1D">
        <w:rPr>
          <w:rFonts w:ascii="Times New Roman" w:eastAsia="Calibri" w:hAnsi="Times New Roman" w:cs="Times New Roman"/>
          <w:b/>
          <w:sz w:val="28"/>
        </w:rPr>
        <w:t xml:space="preserve"> </w:t>
      </w:r>
      <w:r w:rsidRPr="00CF6B1D">
        <w:rPr>
          <w:rFonts w:ascii="Times New Roman" w:eastAsia="Calibri" w:hAnsi="Times New Roman" w:cs="Times New Roman"/>
          <w:sz w:val="28"/>
        </w:rPr>
        <w:t xml:space="preserve">685,3 млн. рублей или 99,3% к уровню 2019 года в действующих ценах. </w:t>
      </w:r>
      <w:r w:rsidRPr="00CF6B1D">
        <w:rPr>
          <w:rFonts w:ascii="Times New Roman" w:eastAsia="Calibri" w:hAnsi="Times New Roman" w:cs="Times New Roman"/>
          <w:sz w:val="28"/>
          <w:szCs w:val="28"/>
        </w:rPr>
        <w:t>Индекс промышленного производства   составил 95,3%.</w:t>
      </w:r>
    </w:p>
    <w:p w:rsidR="00CF6B1D" w:rsidRPr="00CF6B1D" w:rsidRDefault="00CF6B1D" w:rsidP="00CF6B1D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F6B1D" w:rsidRPr="00CF6B1D" w:rsidRDefault="00CF6B1D" w:rsidP="00CF6B1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CF6B1D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2BDC9AA7" wp14:editId="4925CD7D">
            <wp:extent cx="4572000" cy="27432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CF6B1D" w:rsidRPr="00CF6B1D" w:rsidRDefault="00CF6B1D" w:rsidP="00CF6B1D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CF6B1D" w:rsidRPr="00CF6B1D" w:rsidRDefault="00CF6B1D" w:rsidP="00CF6B1D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6B1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Увеличение объема промышленного производства произошло за счет </w:t>
      </w:r>
      <w:r w:rsidRPr="00CF6B1D">
        <w:rPr>
          <w:rFonts w:ascii="Times New Roman" w:eastAsia="Calibri" w:hAnsi="Times New Roman" w:cs="Times New Roman"/>
          <w:sz w:val="28"/>
        </w:rPr>
        <w:t>производства и распределения электроэнергии, газа и воды</w:t>
      </w:r>
      <w:r w:rsidRPr="00CF6B1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где индекс </w:t>
      </w:r>
      <w:r w:rsidRPr="00CF6B1D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 xml:space="preserve">производства составил 105,7%. </w:t>
      </w:r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Уменьшение объема производства </w:t>
      </w:r>
      <w:r w:rsidRPr="00CF6B1D">
        <w:rPr>
          <w:rFonts w:ascii="Times New Roman" w:eastAsia="Calibri" w:hAnsi="Times New Roman" w:cs="Times New Roman"/>
          <w:sz w:val="28"/>
        </w:rPr>
        <w:t xml:space="preserve">обрабатывающих отраслей </w:t>
      </w:r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произошло за счет снижения спроса на продукцию </w:t>
      </w:r>
      <w:proofErr w:type="gramStart"/>
      <w:r w:rsidRPr="00CF6B1D">
        <w:rPr>
          <w:rFonts w:ascii="Times New Roman" w:eastAsia="Calibri" w:hAnsi="Times New Roman" w:cs="Times New Roman"/>
          <w:sz w:val="28"/>
          <w:szCs w:val="28"/>
        </w:rPr>
        <w:t>в  связи</w:t>
      </w:r>
      <w:proofErr w:type="gramEnd"/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 с пандемией.</w:t>
      </w:r>
    </w:p>
    <w:p w:rsidR="00CF6B1D" w:rsidRPr="00CF6B1D" w:rsidRDefault="00CF6B1D" w:rsidP="00CF6B1D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F6B1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Увеличили объемы производства </w:t>
      </w:r>
      <w:proofErr w:type="gramStart"/>
      <w:r w:rsidRPr="00CF6B1D">
        <w:rPr>
          <w:rFonts w:ascii="Times New Roman" w:eastAsia="Calibri" w:hAnsi="Times New Roman" w:cs="Times New Roman"/>
          <w:color w:val="000000"/>
          <w:sz w:val="28"/>
          <w:szCs w:val="28"/>
        </w:rPr>
        <w:t>пищевых  молочных</w:t>
      </w:r>
      <w:proofErr w:type="gramEnd"/>
      <w:r w:rsidRPr="00CF6B1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продуктов 3,7%,  снизили объемы производства хлеба, хлебобулочных и кондитерских изделий в среднем на 4,2% из-за большой конкуренции. </w:t>
      </w:r>
    </w:p>
    <w:p w:rsidR="00CF6B1D" w:rsidRPr="00CF6B1D" w:rsidRDefault="00CF6B1D" w:rsidP="00CF6B1D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highlight w:val="yellow"/>
        </w:rPr>
      </w:pPr>
      <w:r w:rsidRPr="00CF6B1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районе идет развитие производства Маслозавода «Елей», входящего в группу компаний «Звезда» по розливу рафинированного подсолнечного масла и других растительных масел.</w:t>
      </w:r>
      <w:r w:rsidRPr="00CF6B1D">
        <w:rPr>
          <w:rFonts w:ascii="Calibri" w:eastAsia="Calibri" w:hAnsi="Calibri" w:cs="Times New Roman"/>
        </w:rPr>
        <w:t xml:space="preserve"> </w:t>
      </w:r>
      <w:r w:rsidRPr="00CF6B1D">
        <w:rPr>
          <w:rFonts w:ascii="Times New Roman" w:eastAsia="Calibri" w:hAnsi="Times New Roman" w:cs="Times New Roman"/>
          <w:color w:val="000000"/>
          <w:sz w:val="28"/>
          <w:szCs w:val="28"/>
        </w:rPr>
        <w:t>Компанией «Звезда» с начала 2019 года и по настоящее время ведутся работы по строительству цехов переработки семян (рапса, льняного, подсолнечных культур): подготовительно-прессового цеха и цеха рафинации масла. Планируемая мощность – 40 тонн семян в сутки. В 2021 году планируется запуск производства в этом направлении.</w:t>
      </w:r>
    </w:p>
    <w:p w:rsidR="00CF6B1D" w:rsidRPr="00CF6B1D" w:rsidRDefault="00CF6B1D" w:rsidP="00CF6B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6B1D">
        <w:rPr>
          <w:rFonts w:ascii="Times New Roman" w:eastAsia="Calibri" w:hAnsi="Times New Roman" w:cs="Times New Roman"/>
          <w:sz w:val="28"/>
          <w:szCs w:val="28"/>
        </w:rPr>
        <w:t>Промышленными предприятиями района за 2020 год получена прибыль 4,9 млн. руб.</w:t>
      </w:r>
      <w:r w:rsidRPr="00CF6B1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CF6B1D">
        <w:rPr>
          <w:rFonts w:ascii="Times New Roman" w:eastAsia="Calibri" w:hAnsi="Times New Roman" w:cs="Times New Roman"/>
          <w:sz w:val="28"/>
          <w:szCs w:val="28"/>
        </w:rPr>
        <w:t>(за 2019 год</w:t>
      </w:r>
      <w:r w:rsidRPr="00CF6B1D">
        <w:rPr>
          <w:rFonts w:ascii="Times New Roman" w:eastAsia="Calibri" w:hAnsi="Times New Roman" w:cs="Times New Roman"/>
          <w:b/>
          <w:sz w:val="28"/>
          <w:szCs w:val="28"/>
        </w:rPr>
        <w:t xml:space="preserve"> –</w:t>
      </w:r>
      <w:r w:rsidRPr="00CF6B1D">
        <w:rPr>
          <w:rFonts w:ascii="Times New Roman" w:eastAsia="Calibri" w:hAnsi="Times New Roman" w:cs="Times New Roman"/>
          <w:sz w:val="28"/>
          <w:szCs w:val="28"/>
        </w:rPr>
        <w:t xml:space="preserve"> 15,9 млн. руб.,) убыток 5,7 млн. руб. (за 2019 год – 1,1 млн. руб.).  Кредиторская задолженность на 01.01.2021 составляет 48,1 млн. руб., дебиторская задолженность – 89,7 млн. руб.</w:t>
      </w:r>
    </w:p>
    <w:p w:rsidR="00CF6B1D" w:rsidRPr="00CF6B1D" w:rsidRDefault="00CF6B1D" w:rsidP="00CF6B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  <w:r w:rsidRPr="00CF6B1D">
        <w:rPr>
          <w:rFonts w:ascii="Times New Roman" w:eastAsia="Calibri" w:hAnsi="Times New Roman" w:cs="Times New Roman"/>
          <w:b/>
          <w:sz w:val="28"/>
          <w:szCs w:val="28"/>
          <w:highlight w:val="yellow"/>
        </w:rPr>
        <w:t xml:space="preserve"> </w:t>
      </w:r>
    </w:p>
    <w:p w:rsidR="00CF6B1D" w:rsidRPr="00CF6B1D" w:rsidRDefault="00CF6B1D" w:rsidP="00CF6B1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CF6B1D" w:rsidRPr="00CF6B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BF6"/>
    <w:rsid w:val="00316BF6"/>
    <w:rsid w:val="00CF6B1D"/>
    <w:rsid w:val="00F91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74132A-6B37-4A1F-A8A0-901D92E58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txPr>
        <a:bodyPr/>
        <a:lstStyle/>
        <a:p>
          <a:pPr>
            <a:defRPr sz="1200"/>
          </a:pPr>
          <a:endParaRPr lang="ru-RU"/>
        </a:p>
      </c:txPr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162729658792651E-2"/>
          <c:y val="0.14700240594925632"/>
          <c:w val="0.88337270341207352"/>
          <c:h val="0.72312882764654418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Лист6!$A$2</c:f>
              <c:strCache>
                <c:ptCount val="1"/>
                <c:pt idx="0">
                  <c:v>Объем промышленного производства, млн. руб.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6111111111111108E-2"/>
                  <c:y val="-0.3935185185185185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3.0555555555555555E-2"/>
                  <c:y val="-0.2175925925925926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Лист6!$B$1:$C$1</c:f>
              <c:numCache>
                <c:formatCode>General</c:formatCode>
                <c:ptCount val="2"/>
                <c:pt idx="0">
                  <c:v>2019</c:v>
                </c:pt>
                <c:pt idx="1">
                  <c:v>2019</c:v>
                </c:pt>
              </c:numCache>
            </c:numRef>
          </c:cat>
          <c:val>
            <c:numRef>
              <c:f>Лист6!$B$2:$C$2</c:f>
              <c:numCache>
                <c:formatCode>General</c:formatCode>
                <c:ptCount val="2"/>
                <c:pt idx="0">
                  <c:v>689.9</c:v>
                </c:pt>
                <c:pt idx="1">
                  <c:v>685.3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78971040"/>
        <c:axId val="278969080"/>
        <c:axId val="0"/>
      </c:bar3DChart>
      <c:catAx>
        <c:axId val="2789710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278969080"/>
        <c:crosses val="autoZero"/>
        <c:auto val="1"/>
        <c:lblAlgn val="ctr"/>
        <c:lblOffset val="100"/>
        <c:noMultiLvlLbl val="0"/>
      </c:catAx>
      <c:valAx>
        <c:axId val="2789690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78971040"/>
        <c:crosses val="autoZero"/>
        <c:crossBetween val="between"/>
      </c:valAx>
    </c:plotArea>
    <c:plotVisOnly val="1"/>
    <c:dispBlanksAs val="gap"/>
    <c:showDLblsOverMax val="0"/>
  </c:chart>
  <c:spPr>
    <a:gradFill>
      <a:gsLst>
        <a:gs pos="0">
          <a:schemeClr val="accent1">
            <a:lumMod val="5000"/>
            <a:lumOff val="95000"/>
          </a:schemeClr>
        </a:gs>
        <a:gs pos="74000">
          <a:schemeClr val="accent1">
            <a:lumMod val="45000"/>
            <a:lumOff val="55000"/>
          </a:schemeClr>
        </a:gs>
        <a:gs pos="83000">
          <a:schemeClr val="accent1">
            <a:lumMod val="45000"/>
            <a:lumOff val="55000"/>
          </a:schemeClr>
        </a:gs>
        <a:gs pos="100000">
          <a:schemeClr val="accent1">
            <a:lumMod val="30000"/>
            <a:lumOff val="70000"/>
          </a:schemeClr>
        </a:gs>
      </a:gsLst>
      <a:lin ang="5400000" scaled="1"/>
    </a:gradFill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428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Tihonova</dc:creator>
  <cp:keywords/>
  <dc:description/>
  <cp:lastModifiedBy>Tihonova</cp:lastModifiedBy>
  <cp:revision>2</cp:revision>
  <dcterms:created xsi:type="dcterms:W3CDTF">2021-03-11T02:25:00Z</dcterms:created>
  <dcterms:modified xsi:type="dcterms:W3CDTF">2021-03-11T02:27:00Z</dcterms:modified>
</cp:coreProperties>
</file>